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4660" w14:textId="49A0590B" w:rsidR="008E7E67" w:rsidRPr="008E7E67" w:rsidRDefault="00305F64" w:rsidP="008E7E67">
      <w:pPr>
        <w:ind w:left="3067"/>
        <w:jc w:val="left"/>
        <w:rPr>
          <w:rFonts w:ascii="Verdana" w:hAnsi="Verdana"/>
          <w:b/>
          <w:sz w:val="28"/>
          <w:szCs w:val="28"/>
          <w:lang w:val="en-GB"/>
        </w:rPr>
      </w:pPr>
      <w:r>
        <w:rPr>
          <w:rFonts w:ascii="Verdana" w:hAnsi="Verdana"/>
          <w:b/>
          <w:sz w:val="28"/>
          <w:szCs w:val="28"/>
          <w:lang w:val="en-GB"/>
        </w:rPr>
        <w:t>M</w:t>
      </w:r>
      <w:r w:rsidR="00613258" w:rsidRPr="008E7E67">
        <w:rPr>
          <w:rFonts w:ascii="Verdana" w:hAnsi="Verdana"/>
          <w:b/>
          <w:sz w:val="28"/>
          <w:szCs w:val="28"/>
          <w:lang w:val="en-GB"/>
        </w:rPr>
        <w:t>ODERN APPROACHES FOR BANK DISTRIBUTION</w:t>
      </w:r>
    </w:p>
    <w:p w14:paraId="19046929" w14:textId="77777777" w:rsidR="002C30C9" w:rsidRPr="002C30C9" w:rsidRDefault="002C30C9" w:rsidP="00613258">
      <w:pPr>
        <w:ind w:left="3119"/>
        <w:rPr>
          <w:rFonts w:ascii="Verdana" w:hAnsi="Verdana"/>
          <w:sz w:val="24"/>
          <w:lang w:val="en-GB"/>
        </w:rPr>
      </w:pPr>
    </w:p>
    <w:p w14:paraId="209E43A1" w14:textId="42B79CBA" w:rsidR="00A2619C" w:rsidRPr="002C30C9" w:rsidRDefault="008E7E67" w:rsidP="00613258">
      <w:pPr>
        <w:ind w:left="3119"/>
        <w:rPr>
          <w:rFonts w:ascii="Verdana" w:hAnsi="Verdana"/>
          <w:b/>
          <w:bCs/>
          <w:sz w:val="24"/>
          <w:lang w:val="en-GB"/>
        </w:rPr>
      </w:pPr>
      <w:r w:rsidRPr="002C30C9">
        <w:rPr>
          <w:rFonts w:ascii="Verdana" w:hAnsi="Verdana"/>
          <w:b/>
          <w:bCs/>
          <w:sz w:val="24"/>
          <w:lang w:val="en-GB"/>
        </w:rPr>
        <w:t xml:space="preserve">Nadezhda Pavlova </w:t>
      </w:r>
      <w:proofErr w:type="spellStart"/>
      <w:r w:rsidRPr="002C30C9">
        <w:rPr>
          <w:rFonts w:ascii="Verdana" w:hAnsi="Verdana"/>
          <w:b/>
          <w:bCs/>
          <w:sz w:val="24"/>
          <w:lang w:val="en-GB"/>
        </w:rPr>
        <w:t>Nikolova</w:t>
      </w:r>
      <w:proofErr w:type="spellEnd"/>
    </w:p>
    <w:p w14:paraId="183A36BF" w14:textId="3775FCEE" w:rsidR="002C30C9" w:rsidRPr="002C30C9" w:rsidRDefault="00777E87" w:rsidP="002C30C9">
      <w:pPr>
        <w:ind w:left="3119"/>
        <w:rPr>
          <w:rFonts w:ascii="Verdana" w:hAnsi="Verdana"/>
          <w:szCs w:val="20"/>
          <w:lang w:val="en-GB"/>
        </w:rPr>
      </w:pPr>
      <w:r>
        <w:rPr>
          <w:rFonts w:ascii="Verdana" w:hAnsi="Verdana"/>
          <w:szCs w:val="20"/>
          <w:lang w:val="en-GB"/>
        </w:rPr>
        <w:t>PhD Student</w:t>
      </w:r>
      <w:r w:rsidR="002C30C9" w:rsidRPr="002C30C9">
        <w:rPr>
          <w:rFonts w:ascii="Verdana" w:hAnsi="Verdana"/>
          <w:szCs w:val="20"/>
          <w:lang w:val="en-GB"/>
        </w:rPr>
        <w:t>, University of Economics – Varna, Bulgaria</w:t>
      </w:r>
    </w:p>
    <w:p w14:paraId="0C52F596" w14:textId="77777777" w:rsidR="002C30C9" w:rsidRPr="002C30C9" w:rsidRDefault="002C30C9" w:rsidP="002C30C9">
      <w:pPr>
        <w:ind w:left="3119"/>
        <w:rPr>
          <w:rFonts w:ascii="Verdana" w:hAnsi="Verdana"/>
          <w:szCs w:val="20"/>
          <w:lang w:val="en-GB"/>
        </w:rPr>
      </w:pPr>
      <w:r w:rsidRPr="002C30C9">
        <w:rPr>
          <w:rFonts w:ascii="Verdana" w:hAnsi="Verdana"/>
          <w:szCs w:val="20"/>
          <w:lang w:val="en-GB"/>
        </w:rPr>
        <w:t>Faculty of Finance and Accounting</w:t>
      </w:r>
    </w:p>
    <w:p w14:paraId="65A437CF" w14:textId="7877BB4A" w:rsidR="002C30C9" w:rsidRPr="002C30C9" w:rsidRDefault="00B874FC" w:rsidP="002C30C9">
      <w:pPr>
        <w:ind w:left="3119"/>
        <w:rPr>
          <w:rFonts w:ascii="Verdana" w:hAnsi="Verdana"/>
          <w:szCs w:val="20"/>
          <w:lang w:val="en-GB"/>
        </w:rPr>
      </w:pPr>
      <w:r>
        <w:rPr>
          <w:rFonts w:ascii="Verdana" w:hAnsi="Verdana"/>
          <w:szCs w:val="20"/>
          <w:lang w:val="en-GB"/>
        </w:rPr>
        <w:t>E</w:t>
      </w:r>
      <w:r w:rsidR="002C30C9" w:rsidRPr="002C30C9">
        <w:rPr>
          <w:rFonts w:ascii="Verdana" w:hAnsi="Verdana"/>
          <w:szCs w:val="20"/>
          <w:lang w:val="en-GB"/>
        </w:rPr>
        <w:t>-mail: nadezhda.nickolova@gmail.com</w:t>
      </w:r>
    </w:p>
    <w:p w14:paraId="75AC7BF9" w14:textId="77777777" w:rsidR="00BC1376" w:rsidRPr="00366180" w:rsidRDefault="00BC1376" w:rsidP="00BC1376">
      <w:pPr>
        <w:ind w:left="3119"/>
        <w:rPr>
          <w:rFonts w:ascii="Verdana" w:hAnsi="Verdana"/>
          <w:sz w:val="24"/>
          <w:lang w:val="en-GB"/>
        </w:rPr>
      </w:pPr>
    </w:p>
    <w:p w14:paraId="05D49490" w14:textId="01F3E3B6" w:rsidR="00412A1E" w:rsidRPr="00412A1E" w:rsidRDefault="00412A1E" w:rsidP="00B874FC">
      <w:pPr>
        <w:ind w:left="3119"/>
        <w:jc w:val="left"/>
        <w:rPr>
          <w:rFonts w:ascii="Verdana" w:hAnsi="Verdana"/>
          <w:b/>
          <w:sz w:val="28"/>
          <w:szCs w:val="28"/>
          <w:lang w:val="en-GB"/>
        </w:rPr>
      </w:pPr>
      <w:r w:rsidRPr="00412A1E">
        <w:rPr>
          <w:rFonts w:ascii="Verdana" w:hAnsi="Verdana"/>
          <w:b/>
          <w:sz w:val="28"/>
          <w:szCs w:val="28"/>
          <w:lang w:val="en-GB"/>
        </w:rPr>
        <w:t>СЪВРЕМЕННИ ПОДХОДИ ЗА БАНКОВА ДИСТРИБУЦИЯ</w:t>
      </w:r>
    </w:p>
    <w:p w14:paraId="751CF47E" w14:textId="58EA68F7" w:rsidR="00BC1376" w:rsidRPr="00366180" w:rsidRDefault="00412A1E" w:rsidP="00412A1E">
      <w:pPr>
        <w:ind w:left="3119"/>
        <w:rPr>
          <w:rFonts w:ascii="Verdana" w:hAnsi="Verdana" w:cstheme="minorHAnsi"/>
          <w:b/>
          <w:sz w:val="28"/>
          <w:szCs w:val="28"/>
          <w:lang w:val="en-GB"/>
        </w:rPr>
      </w:pPr>
      <w:r w:rsidRPr="00412A1E">
        <w:rPr>
          <w:rFonts w:ascii="Verdana" w:hAnsi="Verdana"/>
          <w:b/>
          <w:sz w:val="28"/>
          <w:szCs w:val="28"/>
          <w:lang w:val="en-GB"/>
        </w:rPr>
        <w:t>НАДЕЖДА ПАВЛОВА НИКОЛОВА</w:t>
      </w:r>
    </w:p>
    <w:p w14:paraId="02395A9D" w14:textId="77777777" w:rsidR="00412A1E" w:rsidRDefault="00412A1E" w:rsidP="00412A1E">
      <w:pPr>
        <w:ind w:left="3119"/>
        <w:rPr>
          <w:rFonts w:ascii="Verdana" w:hAnsi="Verdana"/>
          <w:b/>
          <w:bCs/>
          <w:sz w:val="24"/>
          <w:lang w:val="en-GB"/>
        </w:rPr>
      </w:pPr>
    </w:p>
    <w:p w14:paraId="2A7E6535" w14:textId="6932DDBB" w:rsidR="00412A1E" w:rsidRPr="002C30C9" w:rsidRDefault="00F3664B" w:rsidP="00412A1E">
      <w:pPr>
        <w:ind w:left="3119"/>
        <w:rPr>
          <w:rFonts w:ascii="Verdana" w:hAnsi="Verdana"/>
          <w:b/>
          <w:bCs/>
          <w:sz w:val="24"/>
          <w:lang w:val="en-GB"/>
        </w:rPr>
      </w:pPr>
      <w:r w:rsidRPr="00E5507C">
        <w:rPr>
          <w:rFonts w:ascii="Verdana" w:hAnsi="Verdana"/>
          <w:b/>
          <w:sz w:val="24"/>
        </w:rPr>
        <w:t>Надежда Павлова Николова</w:t>
      </w:r>
    </w:p>
    <w:p w14:paraId="7BB69F16" w14:textId="77777777" w:rsidR="00B874FC" w:rsidRPr="00B874FC" w:rsidRDefault="00B874FC" w:rsidP="00446357">
      <w:pPr>
        <w:ind w:left="3119"/>
        <w:jc w:val="left"/>
        <w:rPr>
          <w:rFonts w:ascii="Verdana" w:hAnsi="Verdana"/>
          <w:szCs w:val="20"/>
        </w:rPr>
      </w:pPr>
      <w:r w:rsidRPr="00B874FC">
        <w:rPr>
          <w:rFonts w:ascii="Verdana" w:hAnsi="Verdana"/>
          <w:szCs w:val="20"/>
        </w:rPr>
        <w:t>Докторант, Икономически университет – Варна, България</w:t>
      </w:r>
    </w:p>
    <w:p w14:paraId="2802041B" w14:textId="77777777" w:rsidR="00B874FC" w:rsidRPr="00B874FC" w:rsidRDefault="00B874FC" w:rsidP="00B874FC">
      <w:pPr>
        <w:ind w:left="3119"/>
        <w:rPr>
          <w:rFonts w:ascii="Verdana" w:hAnsi="Verdana"/>
          <w:szCs w:val="20"/>
        </w:rPr>
      </w:pPr>
      <w:r w:rsidRPr="00B874FC">
        <w:rPr>
          <w:rFonts w:ascii="Verdana" w:hAnsi="Verdana"/>
          <w:szCs w:val="20"/>
        </w:rPr>
        <w:t>Финансово-счетоводен факултет</w:t>
      </w:r>
    </w:p>
    <w:p w14:paraId="43FF84F5" w14:textId="1E74A39C" w:rsidR="00682C1F" w:rsidRPr="00B874FC" w:rsidRDefault="00B874FC" w:rsidP="00B874FC">
      <w:pPr>
        <w:ind w:left="3119"/>
        <w:rPr>
          <w:rFonts w:ascii="Verdana" w:hAnsi="Verdana"/>
          <w:szCs w:val="20"/>
        </w:rPr>
      </w:pPr>
      <w:r w:rsidRPr="00F92DC9">
        <w:rPr>
          <w:rFonts w:ascii="Verdana" w:hAnsi="Verdana"/>
          <w:szCs w:val="20"/>
          <w:lang w:val="en-GB"/>
        </w:rPr>
        <w:t xml:space="preserve">E-mail: </w:t>
      </w:r>
      <w:proofErr w:type="spellStart"/>
      <w:r w:rsidRPr="00F92DC9">
        <w:rPr>
          <w:rFonts w:ascii="Verdana" w:hAnsi="Verdana"/>
          <w:szCs w:val="20"/>
          <w:lang w:val="en-GB"/>
        </w:rPr>
        <w:t>nadezhda.nickolova@g</w:t>
      </w:r>
      <w:proofErr w:type="spellEnd"/>
      <w:r w:rsidRPr="00B874FC">
        <w:rPr>
          <w:rFonts w:ascii="Verdana" w:hAnsi="Verdana"/>
          <w:szCs w:val="20"/>
        </w:rPr>
        <w:t>mail.com</w:t>
      </w:r>
    </w:p>
    <w:p w14:paraId="02848833" w14:textId="77777777" w:rsidR="00412A1E" w:rsidRPr="00366180" w:rsidRDefault="00412A1E" w:rsidP="00412A1E">
      <w:pPr>
        <w:ind w:left="3119"/>
        <w:rPr>
          <w:rFonts w:ascii="Verdana" w:hAnsi="Verdana"/>
          <w:sz w:val="24"/>
          <w:lang w:val="en-GB"/>
        </w:rPr>
      </w:pPr>
    </w:p>
    <w:p w14:paraId="16217108" w14:textId="0EA0A3C3" w:rsidR="00700A11" w:rsidRDefault="00700A11" w:rsidP="00700A11">
      <w:pPr>
        <w:spacing w:after="60"/>
        <w:rPr>
          <w:rFonts w:ascii="Verdana" w:hAnsi="Verdana"/>
          <w:i/>
          <w:lang w:val="en-US"/>
        </w:rPr>
      </w:pPr>
      <w:r w:rsidRPr="00E26FDB">
        <w:rPr>
          <w:rFonts w:ascii="Verdana" w:hAnsi="Verdana"/>
          <w:b/>
          <w:i/>
          <w:lang w:val="en-US"/>
        </w:rPr>
        <w:t>Abstract:</w:t>
      </w:r>
      <w:r w:rsidRPr="00CD4080">
        <w:rPr>
          <w:i/>
        </w:rPr>
        <w:t xml:space="preserve"> </w:t>
      </w:r>
      <w:r w:rsidRPr="00CD4080">
        <w:rPr>
          <w:rFonts w:ascii="Verdana" w:hAnsi="Verdana"/>
          <w:i/>
          <w:lang w:val="en-US"/>
        </w:rPr>
        <w:t xml:space="preserve">Implementation of omnichannel and </w:t>
      </w:r>
      <w:proofErr w:type="spellStart"/>
      <w:r w:rsidRPr="00CD4080">
        <w:rPr>
          <w:rFonts w:ascii="Verdana" w:hAnsi="Verdana"/>
          <w:i/>
          <w:lang w:val="en-US"/>
        </w:rPr>
        <w:t>optichannel</w:t>
      </w:r>
      <w:proofErr w:type="spellEnd"/>
      <w:r w:rsidRPr="00CD4080">
        <w:rPr>
          <w:rFonts w:ascii="Verdana" w:hAnsi="Verdana"/>
          <w:i/>
          <w:lang w:val="en-US"/>
        </w:rPr>
        <w:t xml:space="preserve"> banking help bank providing agile and innovative distribution of banking products and services. The new concepts imply integration of different channels and active management of customers’ data with different analytical techniques. As a result, organizations can provide seamless and personalized customer experience.</w:t>
      </w:r>
    </w:p>
    <w:p w14:paraId="7E7B8B5F" w14:textId="77777777" w:rsidR="00700A11" w:rsidRPr="001F215A" w:rsidRDefault="00700A11" w:rsidP="00700A11">
      <w:pPr>
        <w:rPr>
          <w:rFonts w:ascii="Verdana" w:hAnsi="Verdana"/>
          <w:i/>
          <w:lang w:val="en-US"/>
        </w:rPr>
      </w:pPr>
      <w:r w:rsidRPr="00E26FDB">
        <w:rPr>
          <w:rFonts w:ascii="Verdana" w:hAnsi="Verdana"/>
          <w:b/>
          <w:i/>
          <w:lang w:val="en-US"/>
        </w:rPr>
        <w:t>Key words:</w:t>
      </w:r>
      <w:r w:rsidRPr="001F215A">
        <w:rPr>
          <w:i/>
        </w:rPr>
        <w:t xml:space="preserve"> </w:t>
      </w:r>
      <w:r w:rsidRPr="001F215A">
        <w:rPr>
          <w:rFonts w:ascii="Verdana" w:hAnsi="Verdana"/>
          <w:i/>
          <w:lang w:val="en-US"/>
        </w:rPr>
        <w:t xml:space="preserve">distribution channels, bank distribution, omnichannel banking, </w:t>
      </w:r>
      <w:proofErr w:type="spellStart"/>
      <w:r w:rsidRPr="001F215A">
        <w:rPr>
          <w:rFonts w:ascii="Verdana" w:hAnsi="Verdana"/>
          <w:i/>
          <w:lang w:val="en-US"/>
        </w:rPr>
        <w:t>optichannel</w:t>
      </w:r>
      <w:proofErr w:type="spellEnd"/>
      <w:r w:rsidRPr="001F215A">
        <w:rPr>
          <w:rFonts w:ascii="Verdana" w:hAnsi="Verdana"/>
          <w:i/>
          <w:lang w:val="en-US"/>
        </w:rPr>
        <w:t xml:space="preserve"> banking, customer experience, big data, advanced analytics.</w:t>
      </w:r>
    </w:p>
    <w:p w14:paraId="43B716BA" w14:textId="77777777" w:rsidR="00700A11" w:rsidRPr="00CD4080" w:rsidRDefault="00700A11" w:rsidP="00700A11">
      <w:pPr>
        <w:rPr>
          <w:rFonts w:ascii="Verdana" w:hAnsi="Verdana"/>
          <w:i/>
          <w:lang w:val="en-US"/>
        </w:rPr>
      </w:pPr>
    </w:p>
    <w:p w14:paraId="1BFA0657" w14:textId="77777777" w:rsidR="00700A11" w:rsidRPr="00CD4080" w:rsidRDefault="00700A11" w:rsidP="00700A11">
      <w:pPr>
        <w:spacing w:after="60"/>
        <w:rPr>
          <w:rFonts w:ascii="Verdana" w:hAnsi="Verdana"/>
          <w:i/>
        </w:rPr>
      </w:pPr>
      <w:r w:rsidRPr="00E26FDB">
        <w:rPr>
          <w:rFonts w:ascii="Verdana" w:hAnsi="Verdana"/>
          <w:b/>
          <w:i/>
        </w:rPr>
        <w:t>Резюме:</w:t>
      </w:r>
      <w:r w:rsidRPr="00CD4080">
        <w:rPr>
          <w:i/>
        </w:rPr>
        <w:t xml:space="preserve"> </w:t>
      </w:r>
      <w:r w:rsidRPr="00CD4080">
        <w:rPr>
          <w:rFonts w:ascii="Verdana" w:hAnsi="Verdana"/>
          <w:i/>
        </w:rPr>
        <w:t xml:space="preserve">Внедряването на </w:t>
      </w:r>
      <w:proofErr w:type="spellStart"/>
      <w:r w:rsidRPr="00CD4080">
        <w:rPr>
          <w:rFonts w:ascii="Verdana" w:hAnsi="Verdana"/>
          <w:i/>
        </w:rPr>
        <w:t>омниканалното</w:t>
      </w:r>
      <w:proofErr w:type="spellEnd"/>
      <w:r w:rsidRPr="00CD4080">
        <w:rPr>
          <w:rFonts w:ascii="Verdana" w:hAnsi="Verdana"/>
          <w:i/>
        </w:rPr>
        <w:t xml:space="preserve"> и </w:t>
      </w:r>
      <w:proofErr w:type="spellStart"/>
      <w:r w:rsidRPr="00CD4080">
        <w:rPr>
          <w:rFonts w:ascii="Verdana" w:hAnsi="Verdana"/>
          <w:i/>
        </w:rPr>
        <w:t>оптиканалното</w:t>
      </w:r>
      <w:proofErr w:type="spellEnd"/>
      <w:r w:rsidRPr="00CD4080">
        <w:rPr>
          <w:rFonts w:ascii="Verdana" w:hAnsi="Verdana"/>
          <w:i/>
        </w:rPr>
        <w:t xml:space="preserve"> банкиране подпомага банките в предоставянето на гъвкав и иновативен пласмент на банкови продукти и услуги. Новите концепции предполагат интегриране на отделните канали и активно управление на клиентските данни чрез различни техники за анализ. В резултат на това, организациите могат да предоставят последователно и персонализирано клиентско изживяване.</w:t>
      </w:r>
    </w:p>
    <w:p w14:paraId="6B65B135" w14:textId="5178A528" w:rsidR="0008164F" w:rsidRPr="00366180" w:rsidRDefault="00700A11" w:rsidP="00700A11">
      <w:pPr>
        <w:spacing w:before="120"/>
        <w:rPr>
          <w:rFonts w:ascii="Verdana" w:hAnsi="Verdana"/>
          <w:i/>
          <w:lang w:val="en-GB"/>
        </w:rPr>
      </w:pPr>
      <w:r w:rsidRPr="00E26FDB">
        <w:rPr>
          <w:rFonts w:ascii="Verdana" w:hAnsi="Verdana"/>
          <w:b/>
          <w:i/>
        </w:rPr>
        <w:t>Ключови думи:</w:t>
      </w:r>
      <w:r w:rsidRPr="001F215A">
        <w:rPr>
          <w:rFonts w:ascii="Verdana" w:hAnsi="Verdana"/>
          <w:i/>
        </w:rPr>
        <w:t xml:space="preserve"> дистрибуционни канали, банкова дистрибуция, </w:t>
      </w:r>
      <w:proofErr w:type="spellStart"/>
      <w:r w:rsidRPr="001F215A">
        <w:rPr>
          <w:rFonts w:ascii="Verdana" w:hAnsi="Verdana"/>
          <w:i/>
        </w:rPr>
        <w:t>омниканално</w:t>
      </w:r>
      <w:proofErr w:type="spellEnd"/>
      <w:r w:rsidRPr="001F215A">
        <w:rPr>
          <w:rFonts w:ascii="Verdana" w:hAnsi="Verdana"/>
          <w:i/>
        </w:rPr>
        <w:t xml:space="preserve"> банкиране, </w:t>
      </w:r>
      <w:proofErr w:type="spellStart"/>
      <w:r w:rsidRPr="001F215A">
        <w:rPr>
          <w:rFonts w:ascii="Verdana" w:hAnsi="Verdana"/>
          <w:i/>
        </w:rPr>
        <w:t>оптиканално</w:t>
      </w:r>
      <w:proofErr w:type="spellEnd"/>
      <w:r w:rsidRPr="001F215A">
        <w:rPr>
          <w:rFonts w:ascii="Verdana" w:hAnsi="Verdana"/>
          <w:i/>
        </w:rPr>
        <w:t xml:space="preserve"> банкиране, клиентско изживяване, технология на големите данни,</w:t>
      </w:r>
      <w:r w:rsidRPr="001F215A">
        <w:rPr>
          <w:rFonts w:ascii="Verdana" w:hAnsi="Verdana"/>
          <w:i/>
          <w:lang w:val="en-US"/>
        </w:rPr>
        <w:t xml:space="preserve"> </w:t>
      </w:r>
      <w:r w:rsidRPr="001F215A">
        <w:rPr>
          <w:rFonts w:ascii="Verdana" w:hAnsi="Verdana"/>
          <w:i/>
        </w:rPr>
        <w:t>задълбочени анализи.</w:t>
      </w:r>
    </w:p>
    <w:p w14:paraId="5C2E7130" w14:textId="5A0C3F9F" w:rsidR="00117FCD" w:rsidRPr="00366180" w:rsidRDefault="00117FCD" w:rsidP="007122B6">
      <w:pPr>
        <w:pStyle w:val="a0"/>
        <w:rPr>
          <w:lang w:val="en-GB"/>
        </w:rPr>
      </w:pPr>
    </w:p>
    <w:p w14:paraId="7CB92144" w14:textId="77777777" w:rsidR="00A02655" w:rsidRPr="00366180" w:rsidRDefault="00A02655" w:rsidP="00117FCD">
      <w:pPr>
        <w:rPr>
          <w:rFonts w:ascii="Verdana" w:hAnsi="Verdana"/>
          <w:i/>
          <w:szCs w:val="20"/>
          <w:lang w:val="en-GB"/>
        </w:rPr>
      </w:pPr>
    </w:p>
    <w:p w14:paraId="653E1DF2" w14:textId="77777777" w:rsidR="00FF32BC" w:rsidRPr="00366180" w:rsidRDefault="00FF32BC" w:rsidP="007B1F87">
      <w:pPr>
        <w:rPr>
          <w:rFonts w:ascii="Verdana" w:hAnsi="Verdana"/>
          <w:i/>
          <w:szCs w:val="20"/>
          <w:lang w:val="en-GB"/>
        </w:rPr>
        <w:sectPr w:rsidR="00FF32BC" w:rsidRPr="00366180" w:rsidSect="008D48E1">
          <w:headerReference w:type="even" r:id="rId8"/>
          <w:headerReference w:type="default" r:id="rId9"/>
          <w:footerReference w:type="even" r:id="rId10"/>
          <w:footerReference w:type="default" r:id="rId11"/>
          <w:pgSz w:w="11906" w:h="16838" w:code="9"/>
          <w:pgMar w:top="1418" w:right="1418" w:bottom="1134" w:left="1418" w:header="709" w:footer="709" w:gutter="0"/>
          <w:pgNumType w:start="1"/>
          <w:cols w:space="708"/>
          <w:docGrid w:linePitch="360"/>
        </w:sectPr>
      </w:pP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single" w:sz="8" w:space="0" w:color="000000"/>
        </w:tblBorders>
        <w:tblCellMar>
          <w:top w:w="57" w:type="dxa"/>
          <w:left w:w="284" w:type="dxa"/>
          <w:bottom w:w="57" w:type="dxa"/>
          <w:right w:w="284" w:type="dxa"/>
        </w:tblCellMar>
        <w:tblLook w:val="04A0" w:firstRow="1" w:lastRow="0" w:firstColumn="1" w:lastColumn="0" w:noHBand="0" w:noVBand="1"/>
      </w:tblPr>
      <w:tblGrid>
        <w:gridCol w:w="4820"/>
        <w:gridCol w:w="4820"/>
      </w:tblGrid>
      <w:tr w:rsidR="005203CE" w:rsidRPr="00930603" w14:paraId="5FEA147D" w14:textId="77777777" w:rsidTr="00B67883">
        <w:tc>
          <w:tcPr>
            <w:tcW w:w="4820" w:type="dxa"/>
          </w:tcPr>
          <w:p w14:paraId="6905444F" w14:textId="35CA2B71" w:rsidR="00B41DBC" w:rsidRPr="000609CF" w:rsidRDefault="00B41DBC" w:rsidP="00B41DBC">
            <w:pPr>
              <w:spacing w:after="120"/>
              <w:rPr>
                <w:rFonts w:ascii="Verdana" w:hAnsi="Verdana"/>
                <w:b/>
                <w:lang w:val="en-GB"/>
              </w:rPr>
            </w:pPr>
            <w:r w:rsidRPr="000609CF">
              <w:rPr>
                <w:rFonts w:ascii="Verdana" w:hAnsi="Verdana"/>
                <w:b/>
                <w:lang w:val="en-GB"/>
              </w:rPr>
              <w:t>Introduction</w:t>
            </w:r>
          </w:p>
          <w:p w14:paraId="3D2683D0" w14:textId="7DC59C19" w:rsidR="00647052" w:rsidRPr="000609CF" w:rsidRDefault="00B41DBC" w:rsidP="00B575BA">
            <w:pPr>
              <w:spacing w:after="80"/>
              <w:rPr>
                <w:rFonts w:ascii="Verdana" w:hAnsi="Verdana"/>
                <w:lang w:val="en-GB"/>
              </w:rPr>
            </w:pPr>
            <w:r w:rsidRPr="000609CF">
              <w:rPr>
                <w:rFonts w:ascii="Verdana" w:hAnsi="Verdana"/>
                <w:lang w:val="en-GB"/>
              </w:rPr>
              <w:t xml:space="preserve">Digital transformation in banking brings many opportunities for financial </w:t>
            </w:r>
            <w:proofErr w:type="spellStart"/>
            <w:r w:rsidRPr="000609CF">
              <w:rPr>
                <w:rFonts w:ascii="Verdana" w:hAnsi="Verdana"/>
                <w:lang w:val="en-GB"/>
              </w:rPr>
              <w:t>organiza-tions</w:t>
            </w:r>
            <w:proofErr w:type="spellEnd"/>
            <w:r w:rsidRPr="000609CF">
              <w:rPr>
                <w:rFonts w:ascii="Verdana" w:hAnsi="Verdana"/>
                <w:lang w:val="en-GB"/>
              </w:rPr>
              <w:t xml:space="preserve">. Banks develop and innovate </w:t>
            </w:r>
            <w:proofErr w:type="spellStart"/>
            <w:r w:rsidRPr="000609CF">
              <w:rPr>
                <w:rFonts w:ascii="Verdana" w:hAnsi="Verdana"/>
                <w:lang w:val="en-GB"/>
              </w:rPr>
              <w:t>func-tionalities</w:t>
            </w:r>
            <w:proofErr w:type="spellEnd"/>
            <w:r w:rsidRPr="000609CF">
              <w:rPr>
                <w:rFonts w:ascii="Verdana" w:hAnsi="Verdana"/>
                <w:lang w:val="en-GB"/>
              </w:rPr>
              <w:t xml:space="preserve"> of distribution channels to up-grade the customer experience in all touch points. The huge potential of the global interne</w:t>
            </w:r>
            <w:r w:rsidR="00777E87">
              <w:rPr>
                <w:rFonts w:ascii="Verdana" w:hAnsi="Verdana"/>
                <w:lang w:val="en-GB"/>
              </w:rPr>
              <w:t>t access allow financial in</w:t>
            </w:r>
            <w:r w:rsidRPr="000609CF">
              <w:rPr>
                <w:rFonts w:ascii="Verdana" w:hAnsi="Verdana"/>
                <w:lang w:val="en-GB"/>
              </w:rPr>
              <w:t xml:space="preserve">stitutions to position their product range in a digital environment. They can promote and distribute their products and services through the functionality of the Internet and mobile banking, as well as through social networks. According to a </w:t>
            </w:r>
            <w:r w:rsidRPr="000609CF">
              <w:rPr>
                <w:rFonts w:ascii="Verdana" w:hAnsi="Verdana"/>
                <w:i/>
                <w:lang w:val="en-GB"/>
              </w:rPr>
              <w:t>Salesforce</w:t>
            </w:r>
            <w:r w:rsidR="00777E87">
              <w:rPr>
                <w:rFonts w:ascii="Verdana" w:hAnsi="Verdana"/>
                <w:lang w:val="en-GB"/>
              </w:rPr>
              <w:t xml:space="preserve"> study mobile banking is unde</w:t>
            </w:r>
            <w:r w:rsidRPr="000609CF">
              <w:rPr>
                <w:rFonts w:ascii="Verdana" w:hAnsi="Verdana"/>
                <w:lang w:val="en-GB"/>
              </w:rPr>
              <w:t xml:space="preserve">niably the primary channel in which tomorrow’s </w:t>
            </w:r>
            <w:r w:rsidRPr="000609CF">
              <w:rPr>
                <w:rFonts w:ascii="Verdana" w:hAnsi="Verdana"/>
                <w:lang w:val="en-GB"/>
              </w:rPr>
              <w:lastRenderedPageBreak/>
              <w:t xml:space="preserve">consumers will interact with their financial institution, with nearly one-third of Millennials (31%) saying they use their bank’s mobile app for routine trans-actions, compared to just 17% of Gen Xers and 6% of Baby Boomers (Pilcher, 2017). According to a study by </w:t>
            </w:r>
            <w:r w:rsidRPr="000609CF">
              <w:rPr>
                <w:rFonts w:ascii="Verdana" w:hAnsi="Verdana"/>
                <w:i/>
                <w:lang w:val="en-GB"/>
              </w:rPr>
              <w:t>Deloitte</w:t>
            </w:r>
            <w:r w:rsidRPr="000609CF">
              <w:rPr>
                <w:rFonts w:ascii="Verdana" w:hAnsi="Verdana"/>
                <w:lang w:val="en-GB"/>
              </w:rPr>
              <w:t xml:space="preserve">, among 17 100 banking customers in 17 </w:t>
            </w:r>
            <w:r w:rsidR="00647052" w:rsidRPr="000609CF">
              <w:rPr>
                <w:rFonts w:ascii="Verdana" w:hAnsi="Verdana"/>
                <w:lang w:val="en-GB"/>
              </w:rPr>
              <w:t>countries, 73% of respondents use online</w:t>
            </w:r>
            <w:r w:rsidR="00647052" w:rsidRPr="000609CF">
              <w:rPr>
                <w:rFonts w:ascii="Times New Roman" w:hAnsi="Times New Roman"/>
                <w:lang w:val="en-GB"/>
              </w:rPr>
              <w:t xml:space="preserve"> </w:t>
            </w:r>
            <w:r w:rsidR="00647052" w:rsidRPr="000609CF">
              <w:rPr>
                <w:rFonts w:ascii="Verdana" w:hAnsi="Verdana"/>
                <w:lang w:val="en-GB"/>
              </w:rPr>
              <w:t xml:space="preserve">banking at least once a month, compared with 59% who use mobile banking applications (Srinivas, Wadhwani, 2018). </w:t>
            </w:r>
          </w:p>
          <w:p w14:paraId="245CEA0D" w14:textId="77777777" w:rsidR="005203CE" w:rsidRDefault="005203CE" w:rsidP="0009634A">
            <w:pPr>
              <w:spacing w:before="120" w:after="80"/>
              <w:rPr>
                <w:rFonts w:ascii="Verdana" w:hAnsi="Verdana"/>
                <w:b/>
                <w:lang w:val="en-GB"/>
              </w:rPr>
            </w:pPr>
            <w:r w:rsidRPr="000609CF">
              <w:rPr>
                <w:rFonts w:ascii="Verdana" w:hAnsi="Verdana"/>
                <w:b/>
                <w:lang w:val="en-GB"/>
              </w:rPr>
              <w:t>Exposition</w:t>
            </w:r>
          </w:p>
          <w:p w14:paraId="0B4E2585" w14:textId="7F7EE30E" w:rsidR="002732AD" w:rsidRDefault="005203CE" w:rsidP="00B575BA">
            <w:pPr>
              <w:spacing w:after="80"/>
              <w:rPr>
                <w:rFonts w:ascii="Verdana" w:hAnsi="Verdana"/>
                <w:lang w:val="en-GB"/>
              </w:rPr>
            </w:pPr>
            <w:proofErr w:type="gramStart"/>
            <w:r w:rsidRPr="000609CF">
              <w:rPr>
                <w:rFonts w:ascii="Verdana" w:hAnsi="Verdana"/>
                <w:lang w:val="en-GB"/>
              </w:rPr>
              <w:t>In order to</w:t>
            </w:r>
            <w:proofErr w:type="gramEnd"/>
            <w:r w:rsidRPr="000609CF">
              <w:rPr>
                <w:rFonts w:ascii="Verdana" w:hAnsi="Verdana"/>
                <w:lang w:val="en-GB"/>
              </w:rPr>
              <w:t xml:space="preserve"> ensure effective and interactive customer engagement, banks should provide content tailored to </w:t>
            </w:r>
            <w:proofErr w:type="spellStart"/>
            <w:r w:rsidRPr="000609CF">
              <w:rPr>
                <w:rFonts w:ascii="Verdana" w:hAnsi="Verdana"/>
                <w:lang w:val="en-GB"/>
              </w:rPr>
              <w:t>custo-mer</w:t>
            </w:r>
            <w:proofErr w:type="spellEnd"/>
            <w:r w:rsidRPr="000609CF">
              <w:rPr>
                <w:rFonts w:ascii="Verdana" w:hAnsi="Verdana"/>
                <w:lang w:val="en-GB"/>
              </w:rPr>
              <w:t xml:space="preserve"> needs and specify their marketing activities across all distribution channels.</w:t>
            </w:r>
          </w:p>
          <w:p w14:paraId="26318E06" w14:textId="505B6E06" w:rsidR="00B575BA" w:rsidRDefault="005203CE" w:rsidP="00B575BA">
            <w:pPr>
              <w:spacing w:after="80"/>
              <w:rPr>
                <w:rFonts w:ascii="Verdana" w:hAnsi="Verdana"/>
                <w:lang w:val="en-GB"/>
              </w:rPr>
            </w:pPr>
            <w:r w:rsidRPr="000609CF">
              <w:rPr>
                <w:rFonts w:ascii="Verdana" w:hAnsi="Verdana"/>
                <w:lang w:val="en-GB"/>
              </w:rPr>
              <w:t>After the beginning of the new century, the so-called multi-channel approach found its development in banking.</w:t>
            </w:r>
            <w:r w:rsidRPr="000609CF">
              <w:rPr>
                <w:rFonts w:ascii="Times New Roman" w:hAnsi="Times New Roman"/>
                <w:lang w:val="en-GB"/>
              </w:rPr>
              <w:t xml:space="preserve"> </w:t>
            </w:r>
          </w:p>
          <w:p w14:paraId="56223DAA" w14:textId="6A49E52D" w:rsidR="00B575BA" w:rsidRPr="000609CF" w:rsidRDefault="00B575BA" w:rsidP="0009634A">
            <w:pPr>
              <w:pStyle w:val="ListParagraph"/>
              <w:numPr>
                <w:ilvl w:val="0"/>
                <w:numId w:val="33"/>
              </w:numPr>
              <w:spacing w:after="80"/>
              <w:ind w:left="284" w:hanging="284"/>
              <w:contextualSpacing w:val="0"/>
              <w:jc w:val="both"/>
              <w:rPr>
                <w:lang w:val="en-GB"/>
              </w:rPr>
            </w:pPr>
            <w:r w:rsidRPr="000609CF">
              <w:rPr>
                <w:lang w:val="en-GB"/>
              </w:rPr>
              <w:t>Heavy investments in uncon</w:t>
            </w:r>
            <w:r w:rsidR="00777E87">
              <w:rPr>
                <w:lang w:val="en-GB"/>
              </w:rPr>
              <w:t>vinc</w:t>
            </w:r>
            <w:r w:rsidRPr="000609CF">
              <w:rPr>
                <w:lang w:val="en-GB"/>
              </w:rPr>
              <w:t>ing multichannel strategies and techno</w:t>
            </w:r>
            <w:r w:rsidR="00777E87">
              <w:rPr>
                <w:lang w:val="en-GB"/>
              </w:rPr>
              <w:softHyphen/>
            </w:r>
            <w:r w:rsidRPr="000609CF">
              <w:rPr>
                <w:lang w:val="en-GB"/>
              </w:rPr>
              <w:t>logies that result in a poor return on investment (ROI</w:t>
            </w:r>
            <w:proofErr w:type="gramStart"/>
            <w:r w:rsidRPr="000609CF">
              <w:rPr>
                <w:lang w:val="en-GB"/>
              </w:rPr>
              <w:t>);</w:t>
            </w:r>
            <w:proofErr w:type="gramEnd"/>
          </w:p>
          <w:p w14:paraId="7AA49984" w14:textId="374B02F0" w:rsidR="00B575BA" w:rsidRPr="000609CF" w:rsidRDefault="00B575BA" w:rsidP="0009634A">
            <w:pPr>
              <w:numPr>
                <w:ilvl w:val="0"/>
                <w:numId w:val="33"/>
              </w:numPr>
              <w:spacing w:after="80"/>
              <w:ind w:left="284" w:hanging="284"/>
              <w:rPr>
                <w:rFonts w:ascii="Verdana" w:hAnsi="Verdana"/>
                <w:lang w:val="en-GB"/>
              </w:rPr>
            </w:pPr>
            <w:r w:rsidRPr="000609CF">
              <w:rPr>
                <w:rFonts w:ascii="Verdana" w:hAnsi="Verdana"/>
                <w:lang w:val="en-GB"/>
              </w:rPr>
              <w:t xml:space="preserve">Problems in bringing together and </w:t>
            </w:r>
            <w:r w:rsidR="00777E87">
              <w:rPr>
                <w:rFonts w:ascii="Verdana" w:hAnsi="Verdana"/>
                <w:lang w:val="en-GB"/>
              </w:rPr>
              <w:t>standardising data about custom</w:t>
            </w:r>
            <w:r w:rsidRPr="000609CF">
              <w:rPr>
                <w:rFonts w:ascii="Verdana" w:hAnsi="Verdana"/>
                <w:lang w:val="en-GB"/>
              </w:rPr>
              <w:t>ers or resulting from interactions with them;</w:t>
            </w:r>
          </w:p>
          <w:p w14:paraId="13E720DC" w14:textId="1BD47761" w:rsidR="00B575BA" w:rsidRPr="000609CF" w:rsidRDefault="00B575BA" w:rsidP="005C5F87">
            <w:pPr>
              <w:spacing w:after="80"/>
              <w:rPr>
                <w:rFonts w:ascii="Verdana" w:hAnsi="Verdana"/>
                <w:lang w:val="en-GB"/>
              </w:rPr>
            </w:pPr>
          </w:p>
          <w:p w14:paraId="51F86E1B" w14:textId="08EE0074" w:rsidR="00647052" w:rsidRPr="000609CF" w:rsidRDefault="00454200" w:rsidP="00454200">
            <w:pPr>
              <w:spacing w:after="80"/>
              <w:rPr>
                <w:rFonts w:ascii="Verdana" w:hAnsi="Verdana"/>
                <w:lang w:val="en-GB"/>
              </w:rPr>
            </w:pPr>
            <w:r w:rsidRPr="000E5600">
              <w:rPr>
                <w:rFonts w:ascii="Verdana" w:hAnsi="Verdana"/>
                <w:lang w:val="en-US"/>
              </w:rPr>
              <w:t>Omnichannel is a prerequisite for building an innovative bank of the future.</w:t>
            </w:r>
            <w:r w:rsidRPr="00F22395">
              <w:rPr>
                <w:rFonts w:ascii="Times New Roman" w:hAnsi="Times New Roman"/>
                <w:lang w:val="en-US"/>
              </w:rPr>
              <w:t xml:space="preserve"> </w:t>
            </w:r>
            <w:r w:rsidRPr="00F22395">
              <w:rPr>
                <w:rFonts w:ascii="Verdana" w:hAnsi="Verdana"/>
                <w:lang w:val="en-US"/>
              </w:rPr>
              <w:t>The ex</w:t>
            </w:r>
            <w:r>
              <w:rPr>
                <w:rFonts w:ascii="Verdana" w:hAnsi="Verdana"/>
                <w:lang w:val="en-US"/>
              </w:rPr>
              <w:t>-</w:t>
            </w:r>
            <w:proofErr w:type="spellStart"/>
            <w:r w:rsidRPr="00F22395">
              <w:rPr>
                <w:rFonts w:ascii="Verdana" w:hAnsi="Verdana"/>
                <w:lang w:val="en-US"/>
              </w:rPr>
              <w:t>perts</w:t>
            </w:r>
            <w:proofErr w:type="spellEnd"/>
            <w:r w:rsidRPr="00F22395">
              <w:rPr>
                <w:rFonts w:ascii="Verdana" w:hAnsi="Verdana"/>
                <w:lang w:val="en-US"/>
              </w:rPr>
              <w:t xml:space="preserve"> from </w:t>
            </w:r>
            <w:proofErr w:type="spellStart"/>
            <w:r w:rsidRPr="00F22395">
              <w:rPr>
                <w:rFonts w:ascii="Verdana" w:hAnsi="Verdana"/>
                <w:i/>
                <w:lang w:val="en-US"/>
              </w:rPr>
              <w:t>Backbase</w:t>
            </w:r>
            <w:proofErr w:type="spellEnd"/>
            <w:r w:rsidRPr="00F22395">
              <w:rPr>
                <w:rFonts w:ascii="Verdana" w:hAnsi="Verdana"/>
                <w:i/>
                <w:lang w:val="en-US"/>
              </w:rPr>
              <w:t xml:space="preserve"> company</w:t>
            </w:r>
            <w:r w:rsidRPr="00F22395">
              <w:rPr>
                <w:rFonts w:ascii="Verdana" w:hAnsi="Verdana"/>
                <w:lang w:val="en-US"/>
              </w:rPr>
              <w:t xml:space="preserve"> conclude that</w:t>
            </w:r>
            <w:r w:rsidRPr="00F22395">
              <w:rPr>
                <w:rFonts w:ascii="Verdana" w:hAnsi="Verdana"/>
              </w:rPr>
              <w:t xml:space="preserve"> </w:t>
            </w:r>
            <w:r w:rsidRPr="00F22395">
              <w:rPr>
                <w:rFonts w:ascii="Verdana" w:hAnsi="Verdana"/>
                <w:lang w:val="en-US"/>
              </w:rPr>
              <w:t>the traditional approach with separate service through different channels (mobile, online banking, affiliates) is not convenient for customers and employees</w:t>
            </w:r>
            <w:r w:rsidR="00FC2395">
              <w:rPr>
                <w:rFonts w:ascii="Verdana" w:hAnsi="Verdana"/>
                <w:lang w:val="en-US"/>
              </w:rPr>
              <w:t>.</w:t>
            </w:r>
          </w:p>
          <w:p w14:paraId="30AA3BA5" w14:textId="77777777" w:rsidR="00A97DD0" w:rsidRDefault="00A97DD0" w:rsidP="00A97DD0">
            <w:pPr>
              <w:pStyle w:val="a2"/>
              <w:rPr>
                <w:lang w:val="bg-BG"/>
              </w:rPr>
            </w:pPr>
          </w:p>
          <w:p w14:paraId="7A3283C0" w14:textId="591C971F" w:rsidR="00AE7E64" w:rsidRDefault="00AE7E64" w:rsidP="001D45FC">
            <w:pPr>
              <w:pStyle w:val="a2"/>
              <w:jc w:val="center"/>
            </w:pPr>
            <w:r>
              <w:rPr>
                <w:noProof/>
                <w:lang w:val="bg-BG"/>
              </w:rPr>
              <w:drawing>
                <wp:inline distT="0" distB="0" distL="0" distR="0" wp14:anchorId="52169812" wp14:editId="07F3A402">
                  <wp:extent cx="2159608" cy="2134974"/>
                  <wp:effectExtent l="19050" t="19050" r="12700" b="17780"/>
                  <wp:docPr id="2" name="Picture 1" descr="omni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nichanne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6041" cy="2161106"/>
                          </a:xfrm>
                          <a:prstGeom prst="rect">
                            <a:avLst/>
                          </a:prstGeom>
                          <a:noFill/>
                          <a:ln w="6350" cmpd="sng">
                            <a:solidFill>
                              <a:srgbClr val="000000"/>
                            </a:solidFill>
                            <a:miter lim="800000"/>
                            <a:headEnd/>
                            <a:tailEnd/>
                          </a:ln>
                          <a:effectLst/>
                        </pic:spPr>
                      </pic:pic>
                    </a:graphicData>
                  </a:graphic>
                </wp:inline>
              </w:drawing>
            </w:r>
          </w:p>
          <w:p w14:paraId="6F16DD17" w14:textId="77777777" w:rsidR="00AD7E90" w:rsidRPr="001A63F1" w:rsidRDefault="00AD7E90" w:rsidP="00AD7E90">
            <w:pPr>
              <w:spacing w:after="20"/>
              <w:jc w:val="center"/>
              <w:rPr>
                <w:rFonts w:ascii="Verdana" w:hAnsi="Verdana"/>
                <w:lang w:val="en-US"/>
              </w:rPr>
            </w:pPr>
            <w:r w:rsidRPr="001A63F1">
              <w:rPr>
                <w:rFonts w:ascii="Verdana" w:hAnsi="Verdana"/>
                <w:lang w:val="en-US"/>
              </w:rPr>
              <w:t xml:space="preserve">Figure 1. </w:t>
            </w:r>
            <w:r w:rsidRPr="001A63F1">
              <w:rPr>
                <w:rFonts w:ascii="Verdana" w:hAnsi="Verdana"/>
                <w:lang w:val="en-GB"/>
              </w:rPr>
              <w:t>The pillars</w:t>
            </w:r>
            <w:r w:rsidRPr="001A63F1">
              <w:rPr>
                <w:rFonts w:ascii="Verdana" w:hAnsi="Verdana"/>
                <w:lang w:val="en-US"/>
              </w:rPr>
              <w:t xml:space="preserve"> in banking by 2025.</w:t>
            </w:r>
          </w:p>
          <w:p w14:paraId="7FEB5AFD" w14:textId="1BD7BE74" w:rsidR="00AE7E64" w:rsidRPr="00AE7E64" w:rsidRDefault="00AD7E90" w:rsidP="000161BA">
            <w:pPr>
              <w:jc w:val="center"/>
            </w:pPr>
            <w:r w:rsidRPr="00AD7E90">
              <w:rPr>
                <w:rFonts w:ascii="Verdana" w:hAnsi="Verdana"/>
                <w:iCs/>
                <w:lang w:val="en-US"/>
              </w:rPr>
              <w:t>Source: Banking 2025 Four pillars of the digital-first bank, 2018</w:t>
            </w:r>
          </w:p>
        </w:tc>
        <w:tc>
          <w:tcPr>
            <w:tcW w:w="4820" w:type="dxa"/>
          </w:tcPr>
          <w:p w14:paraId="07AFE628" w14:textId="77777777" w:rsidR="00313B89" w:rsidRPr="00C42F9A" w:rsidRDefault="00313B89" w:rsidP="00313B89">
            <w:pPr>
              <w:spacing w:after="100"/>
              <w:rPr>
                <w:rFonts w:ascii="Verdana" w:hAnsi="Verdana"/>
                <w:b/>
                <w:sz w:val="19"/>
                <w:szCs w:val="19"/>
              </w:rPr>
            </w:pPr>
            <w:r w:rsidRPr="00C42F9A">
              <w:rPr>
                <w:rFonts w:ascii="Verdana" w:hAnsi="Verdana"/>
                <w:b/>
                <w:sz w:val="19"/>
                <w:szCs w:val="19"/>
              </w:rPr>
              <w:lastRenderedPageBreak/>
              <w:t>Въведение</w:t>
            </w:r>
          </w:p>
          <w:p w14:paraId="611B7A97" w14:textId="0EFA7692" w:rsidR="002E3A38" w:rsidRPr="00C42F9A" w:rsidRDefault="00313B89" w:rsidP="002E3A38">
            <w:pPr>
              <w:spacing w:after="80"/>
              <w:rPr>
                <w:rFonts w:ascii="Verdana" w:hAnsi="Verdana"/>
                <w:sz w:val="19"/>
                <w:szCs w:val="19"/>
              </w:rPr>
            </w:pPr>
            <w:r w:rsidRPr="00C42F9A">
              <w:rPr>
                <w:rFonts w:ascii="Verdana" w:hAnsi="Verdana"/>
                <w:sz w:val="19"/>
                <w:szCs w:val="19"/>
              </w:rPr>
              <w:t>Дигиталната трансформация в банкира</w:t>
            </w:r>
            <w:r w:rsidR="009A01E2">
              <w:rPr>
                <w:rFonts w:ascii="Verdana" w:hAnsi="Verdana"/>
                <w:sz w:val="19"/>
                <w:szCs w:val="19"/>
              </w:rPr>
              <w:softHyphen/>
            </w:r>
            <w:r w:rsidRPr="00C42F9A">
              <w:rPr>
                <w:rFonts w:ascii="Verdana" w:hAnsi="Verdana"/>
                <w:sz w:val="19"/>
                <w:szCs w:val="19"/>
              </w:rPr>
              <w:t xml:space="preserve">нето носи редица възможности за финансовите организации. Широките възможности на глобалното интернет пространство позволяват на кредитните институти да позиционират продуктовия си асортимент в дигитална среда. Те могат да осъществяват </w:t>
            </w:r>
            <w:proofErr w:type="spellStart"/>
            <w:r w:rsidRPr="00C42F9A">
              <w:rPr>
                <w:rFonts w:ascii="Verdana" w:hAnsi="Verdana"/>
                <w:sz w:val="19"/>
                <w:szCs w:val="19"/>
              </w:rPr>
              <w:t>промотиране</w:t>
            </w:r>
            <w:proofErr w:type="spellEnd"/>
            <w:r w:rsidRPr="00C42F9A">
              <w:rPr>
                <w:rFonts w:ascii="Verdana" w:hAnsi="Verdana"/>
                <w:sz w:val="19"/>
                <w:szCs w:val="19"/>
              </w:rPr>
              <w:t xml:space="preserve"> и дистрибуция на своите продукти и услуги чрез функционалностите на интернет и мобилното банкиране, както и чрез социалните мрежи. Според проучване на </w:t>
            </w:r>
            <w:proofErr w:type="spellStart"/>
            <w:r w:rsidRPr="00C42F9A">
              <w:rPr>
                <w:rFonts w:ascii="Verdana" w:hAnsi="Verdana"/>
                <w:i/>
                <w:sz w:val="19"/>
                <w:szCs w:val="19"/>
              </w:rPr>
              <w:t>Salesforce</w:t>
            </w:r>
            <w:proofErr w:type="spellEnd"/>
            <w:r w:rsidRPr="00C42F9A">
              <w:rPr>
                <w:rFonts w:ascii="Verdana" w:hAnsi="Verdana"/>
                <w:i/>
                <w:sz w:val="19"/>
                <w:szCs w:val="19"/>
              </w:rPr>
              <w:t xml:space="preserve"> </w:t>
            </w:r>
            <w:r w:rsidRPr="00C42F9A">
              <w:rPr>
                <w:rFonts w:ascii="Verdana" w:hAnsi="Verdana"/>
                <w:sz w:val="19"/>
                <w:szCs w:val="19"/>
              </w:rPr>
              <w:t xml:space="preserve">мобилното банкиране безспорно е основният канал, чрез който потребителите ще взаимодействат с финансовата си институция, като близо </w:t>
            </w:r>
            <w:r w:rsidRPr="00C42F9A">
              <w:rPr>
                <w:rFonts w:ascii="Verdana" w:hAnsi="Verdana"/>
                <w:sz w:val="19"/>
                <w:szCs w:val="19"/>
              </w:rPr>
              <w:lastRenderedPageBreak/>
              <w:t>една трета от клиентите от поколение У (31%) заявяват, че използват мобилното при</w:t>
            </w:r>
            <w:r w:rsidR="00BB0DCB" w:rsidRPr="00C42F9A">
              <w:rPr>
                <w:rFonts w:ascii="Verdana" w:hAnsi="Verdana"/>
                <w:sz w:val="19"/>
                <w:szCs w:val="19"/>
              </w:rPr>
              <w:softHyphen/>
            </w:r>
            <w:r w:rsidRPr="00C42F9A">
              <w:rPr>
                <w:rFonts w:ascii="Verdana" w:hAnsi="Verdana"/>
                <w:sz w:val="19"/>
                <w:szCs w:val="19"/>
              </w:rPr>
              <w:t>ложение на банката си за рут</w:t>
            </w:r>
            <w:r w:rsidR="00777E87">
              <w:rPr>
                <w:rFonts w:ascii="Verdana" w:hAnsi="Verdana"/>
                <w:sz w:val="19"/>
                <w:szCs w:val="19"/>
              </w:rPr>
              <w:t>инни транзакции, в сравнение са</w:t>
            </w:r>
            <w:r w:rsidRPr="00C42F9A">
              <w:rPr>
                <w:rFonts w:ascii="Verdana" w:hAnsi="Verdana"/>
                <w:sz w:val="19"/>
                <w:szCs w:val="19"/>
              </w:rPr>
              <w:t xml:space="preserve">мо със 17% от поколение X и 6 % от поколението </w:t>
            </w:r>
            <w:proofErr w:type="spellStart"/>
            <w:r w:rsidRPr="00C42F9A">
              <w:rPr>
                <w:rFonts w:ascii="Verdana" w:hAnsi="Verdana"/>
                <w:sz w:val="19"/>
                <w:szCs w:val="19"/>
              </w:rPr>
              <w:t>Бейби</w:t>
            </w:r>
            <w:proofErr w:type="spellEnd"/>
            <w:r w:rsidRPr="00C42F9A">
              <w:rPr>
                <w:rFonts w:ascii="Verdana" w:hAnsi="Verdana"/>
                <w:sz w:val="19"/>
                <w:szCs w:val="19"/>
              </w:rPr>
              <w:t xml:space="preserve"> бум (</w:t>
            </w:r>
            <w:proofErr w:type="spellStart"/>
            <w:r w:rsidRPr="00C42F9A">
              <w:rPr>
                <w:rFonts w:ascii="Verdana" w:hAnsi="Verdana"/>
                <w:sz w:val="19"/>
                <w:szCs w:val="19"/>
              </w:rPr>
              <w:t>Pilcher</w:t>
            </w:r>
            <w:proofErr w:type="spellEnd"/>
            <w:r w:rsidRPr="00C42F9A">
              <w:rPr>
                <w:rFonts w:ascii="Verdana" w:hAnsi="Verdana"/>
                <w:sz w:val="19"/>
                <w:szCs w:val="19"/>
              </w:rPr>
              <w:t xml:space="preserve">, 2017). Според изследване на </w:t>
            </w:r>
            <w:r w:rsidRPr="00C42F9A">
              <w:rPr>
                <w:rFonts w:ascii="Verdana" w:hAnsi="Verdana"/>
                <w:i/>
                <w:sz w:val="19"/>
                <w:szCs w:val="19"/>
              </w:rPr>
              <w:t>Deloitte</w:t>
            </w:r>
            <w:r w:rsidRPr="00C42F9A">
              <w:rPr>
                <w:rFonts w:ascii="Verdana" w:hAnsi="Verdana"/>
                <w:sz w:val="19"/>
                <w:szCs w:val="19"/>
              </w:rPr>
              <w:t>, сред 17</w:t>
            </w:r>
            <w:r w:rsidR="002E3A38" w:rsidRPr="00C42F9A">
              <w:rPr>
                <w:sz w:val="19"/>
                <w:szCs w:val="19"/>
              </w:rPr>
              <w:t xml:space="preserve"> </w:t>
            </w:r>
            <w:r w:rsidR="002E3A38" w:rsidRPr="00C42F9A">
              <w:rPr>
                <w:rFonts w:ascii="Verdana" w:hAnsi="Verdana"/>
                <w:sz w:val="19"/>
                <w:szCs w:val="19"/>
              </w:rPr>
              <w:t>100 банкови клиенти в 17 държави, 73% от анкетираните използват онлайн банки</w:t>
            </w:r>
            <w:r w:rsidR="00BB0DCB" w:rsidRPr="00C42F9A">
              <w:rPr>
                <w:rFonts w:ascii="Verdana" w:hAnsi="Verdana"/>
                <w:sz w:val="19"/>
                <w:szCs w:val="19"/>
              </w:rPr>
              <w:softHyphen/>
            </w:r>
            <w:r w:rsidR="002E3A38" w:rsidRPr="00C42F9A">
              <w:rPr>
                <w:rFonts w:ascii="Verdana" w:hAnsi="Verdana"/>
                <w:sz w:val="19"/>
                <w:szCs w:val="19"/>
              </w:rPr>
              <w:t>ране поне веднъж месечно, в сравнение с 59%, които използват приложения за мобилно банкиране (</w:t>
            </w:r>
            <w:proofErr w:type="spellStart"/>
            <w:r w:rsidR="002E3A38" w:rsidRPr="00C42F9A">
              <w:rPr>
                <w:rFonts w:ascii="Verdana" w:hAnsi="Verdana"/>
                <w:sz w:val="19"/>
                <w:szCs w:val="19"/>
              </w:rPr>
              <w:t>Srinivas</w:t>
            </w:r>
            <w:proofErr w:type="spellEnd"/>
            <w:r w:rsidR="002E3A38" w:rsidRPr="00C42F9A">
              <w:rPr>
                <w:rFonts w:ascii="Verdana" w:hAnsi="Verdana"/>
                <w:sz w:val="19"/>
                <w:szCs w:val="19"/>
              </w:rPr>
              <w:t xml:space="preserve">, </w:t>
            </w:r>
            <w:proofErr w:type="spellStart"/>
            <w:r w:rsidR="002E3A38" w:rsidRPr="00C42F9A">
              <w:rPr>
                <w:rFonts w:ascii="Verdana" w:hAnsi="Verdana"/>
                <w:sz w:val="19"/>
                <w:szCs w:val="19"/>
              </w:rPr>
              <w:t>Wadhwani</w:t>
            </w:r>
            <w:proofErr w:type="spellEnd"/>
            <w:r w:rsidR="002E3A38" w:rsidRPr="00C42F9A">
              <w:rPr>
                <w:rFonts w:ascii="Verdana" w:hAnsi="Verdana"/>
                <w:sz w:val="19"/>
                <w:szCs w:val="19"/>
              </w:rPr>
              <w:t>, 2018).</w:t>
            </w:r>
          </w:p>
          <w:p w14:paraId="5B54EFE9" w14:textId="77777777" w:rsidR="002E3A38" w:rsidRPr="00C42F9A" w:rsidRDefault="002E3A38" w:rsidP="002E3A38">
            <w:pPr>
              <w:spacing w:before="120" w:after="80"/>
              <w:rPr>
                <w:rFonts w:ascii="Verdana" w:hAnsi="Verdana"/>
                <w:b/>
                <w:sz w:val="19"/>
                <w:szCs w:val="19"/>
              </w:rPr>
            </w:pPr>
            <w:r w:rsidRPr="00C42F9A">
              <w:rPr>
                <w:rFonts w:ascii="Verdana" w:hAnsi="Verdana"/>
                <w:b/>
                <w:sz w:val="19"/>
                <w:szCs w:val="19"/>
              </w:rPr>
              <w:t xml:space="preserve">Изложение </w:t>
            </w:r>
          </w:p>
          <w:p w14:paraId="1BDACADF" w14:textId="5E98B81D" w:rsidR="006D308D" w:rsidRPr="00C42F9A" w:rsidRDefault="002E3A38" w:rsidP="006D308D">
            <w:pPr>
              <w:rPr>
                <w:rFonts w:ascii="Verdana" w:hAnsi="Verdana"/>
                <w:sz w:val="19"/>
                <w:szCs w:val="19"/>
              </w:rPr>
            </w:pPr>
            <w:r w:rsidRPr="00C42F9A">
              <w:rPr>
                <w:rFonts w:ascii="Verdana" w:hAnsi="Verdana"/>
                <w:sz w:val="19"/>
                <w:szCs w:val="19"/>
              </w:rPr>
              <w:t xml:space="preserve">Широкото използване на дигиталните и на традиционните канали за банково обслужване предопределя преосмисля-нето на начините за осъществяване на контакт с клиентите и пласмент на финансовите услуги. От началото на новия век в банкирането намери своето развитие т.нар. многоканален подход. </w:t>
            </w:r>
            <w:r w:rsidR="006D308D" w:rsidRPr="00C42F9A">
              <w:rPr>
                <w:rFonts w:ascii="Verdana" w:hAnsi="Verdana"/>
                <w:sz w:val="19"/>
                <w:szCs w:val="19"/>
              </w:rPr>
              <w:t>Други предизвика</w:t>
            </w:r>
            <w:r w:rsidR="00FD6F18" w:rsidRPr="00C42F9A">
              <w:rPr>
                <w:rFonts w:ascii="Verdana" w:hAnsi="Verdana"/>
                <w:sz w:val="19"/>
                <w:szCs w:val="19"/>
              </w:rPr>
              <w:softHyphen/>
            </w:r>
            <w:r w:rsidR="006D308D" w:rsidRPr="00C42F9A">
              <w:rPr>
                <w:rFonts w:ascii="Verdana" w:hAnsi="Verdana"/>
                <w:sz w:val="19"/>
                <w:szCs w:val="19"/>
              </w:rPr>
              <w:t xml:space="preserve">телства, пред които са изправени банките включват: </w:t>
            </w:r>
          </w:p>
          <w:p w14:paraId="33A59C49" w14:textId="110940C9" w:rsidR="006D308D" w:rsidRPr="00C42F9A" w:rsidRDefault="006D308D" w:rsidP="006D308D">
            <w:pPr>
              <w:pStyle w:val="ListParagraph"/>
              <w:numPr>
                <w:ilvl w:val="0"/>
                <w:numId w:val="33"/>
              </w:numPr>
              <w:spacing w:after="80"/>
              <w:ind w:left="284" w:hanging="284"/>
              <w:contextualSpacing w:val="0"/>
              <w:jc w:val="both"/>
              <w:rPr>
                <w:sz w:val="19"/>
                <w:szCs w:val="19"/>
                <w:lang w:val="bg-BG"/>
              </w:rPr>
            </w:pPr>
            <w:r w:rsidRPr="00C42F9A">
              <w:rPr>
                <w:sz w:val="19"/>
                <w:szCs w:val="19"/>
                <w:lang w:val="bg-BG"/>
              </w:rPr>
              <w:t>Сериозните инвестиции в многока</w:t>
            </w:r>
            <w:r w:rsidR="00141AFD" w:rsidRPr="00C42F9A">
              <w:rPr>
                <w:sz w:val="19"/>
                <w:szCs w:val="19"/>
                <w:lang w:val="bg-BG"/>
              </w:rPr>
              <w:softHyphen/>
            </w:r>
            <w:r w:rsidRPr="00C42F9A">
              <w:rPr>
                <w:sz w:val="19"/>
                <w:szCs w:val="19"/>
                <w:lang w:val="bg-BG"/>
              </w:rPr>
              <w:t>налните стратегии и технологии, които намаляват възвращаемостта на инвес</w:t>
            </w:r>
            <w:r w:rsidR="00C42F9A">
              <w:rPr>
                <w:sz w:val="19"/>
                <w:szCs w:val="19"/>
                <w:lang w:val="bg-BG"/>
              </w:rPr>
              <w:softHyphen/>
            </w:r>
            <w:r w:rsidRPr="00C42F9A">
              <w:rPr>
                <w:sz w:val="19"/>
                <w:szCs w:val="19"/>
                <w:lang w:val="bg-BG"/>
              </w:rPr>
              <w:t>тициите;</w:t>
            </w:r>
          </w:p>
          <w:p w14:paraId="73697D19" w14:textId="25F2E395" w:rsidR="006D308D" w:rsidRPr="00C42F9A" w:rsidRDefault="006D308D" w:rsidP="006D308D">
            <w:pPr>
              <w:pStyle w:val="ListParagraph"/>
              <w:numPr>
                <w:ilvl w:val="0"/>
                <w:numId w:val="33"/>
              </w:numPr>
              <w:spacing w:after="80"/>
              <w:ind w:left="284" w:hanging="284"/>
              <w:contextualSpacing w:val="0"/>
              <w:jc w:val="both"/>
              <w:rPr>
                <w:sz w:val="19"/>
                <w:szCs w:val="19"/>
                <w:lang w:val="bg-BG"/>
              </w:rPr>
            </w:pPr>
            <w:r w:rsidRPr="00C42F9A">
              <w:rPr>
                <w:sz w:val="19"/>
                <w:szCs w:val="19"/>
                <w:lang w:val="bg-BG"/>
              </w:rPr>
              <w:t>Проблемите при обединяването и стан</w:t>
            </w:r>
            <w:r w:rsidR="00AC3582">
              <w:rPr>
                <w:sz w:val="19"/>
                <w:szCs w:val="19"/>
                <w:lang w:val="bg-BG"/>
              </w:rPr>
              <w:softHyphen/>
            </w:r>
            <w:r w:rsidRPr="00C42F9A">
              <w:rPr>
                <w:sz w:val="19"/>
                <w:szCs w:val="19"/>
                <w:lang w:val="bg-BG"/>
              </w:rPr>
              <w:t>дартизирането на данните за взаимо</w:t>
            </w:r>
            <w:r w:rsidR="00AC3582">
              <w:rPr>
                <w:sz w:val="19"/>
                <w:szCs w:val="19"/>
                <w:lang w:val="bg-BG"/>
              </w:rPr>
              <w:softHyphen/>
            </w:r>
            <w:r w:rsidRPr="00C42F9A">
              <w:rPr>
                <w:sz w:val="19"/>
                <w:szCs w:val="19"/>
                <w:lang w:val="bg-BG"/>
              </w:rPr>
              <w:t>действията на клиентите;</w:t>
            </w:r>
          </w:p>
          <w:p w14:paraId="7E464597" w14:textId="141E029F" w:rsidR="00F06271" w:rsidRDefault="008666FC" w:rsidP="0097673E">
            <w:pPr>
              <w:pStyle w:val="a2"/>
              <w:rPr>
                <w:sz w:val="19"/>
                <w:szCs w:val="19"/>
                <w:lang w:val="bg-BG"/>
              </w:rPr>
            </w:pPr>
            <w:proofErr w:type="spellStart"/>
            <w:r w:rsidRPr="00C42F9A">
              <w:rPr>
                <w:sz w:val="19"/>
                <w:szCs w:val="19"/>
                <w:lang w:val="bg-BG"/>
              </w:rPr>
              <w:t>Омниканалността</w:t>
            </w:r>
            <w:proofErr w:type="spellEnd"/>
            <w:r w:rsidRPr="00C42F9A">
              <w:rPr>
                <w:sz w:val="19"/>
                <w:szCs w:val="19"/>
                <w:lang w:val="bg-BG"/>
              </w:rPr>
              <w:t xml:space="preserve"> е предпоставка за из</w:t>
            </w:r>
            <w:r w:rsidR="00DD2AAD">
              <w:rPr>
                <w:sz w:val="19"/>
                <w:szCs w:val="19"/>
                <w:lang w:val="bg-BG"/>
              </w:rPr>
              <w:softHyphen/>
            </w:r>
            <w:r w:rsidRPr="00C42F9A">
              <w:rPr>
                <w:sz w:val="19"/>
                <w:szCs w:val="19"/>
                <w:lang w:val="bg-BG"/>
              </w:rPr>
              <w:t>граждане на иновативна банка на бъде</w:t>
            </w:r>
            <w:r w:rsidR="00DD2AAD">
              <w:rPr>
                <w:sz w:val="19"/>
                <w:szCs w:val="19"/>
                <w:lang w:val="bg-BG"/>
              </w:rPr>
              <w:softHyphen/>
            </w:r>
            <w:r w:rsidRPr="00C42F9A">
              <w:rPr>
                <w:sz w:val="19"/>
                <w:szCs w:val="19"/>
                <w:lang w:val="bg-BG"/>
              </w:rPr>
              <w:t xml:space="preserve">щето. Експертите от </w:t>
            </w:r>
            <w:proofErr w:type="spellStart"/>
            <w:r w:rsidRPr="00C42F9A">
              <w:rPr>
                <w:i/>
                <w:sz w:val="19"/>
                <w:szCs w:val="19"/>
                <w:lang w:val="bg-BG"/>
              </w:rPr>
              <w:t>Backbase</w:t>
            </w:r>
            <w:proofErr w:type="spellEnd"/>
            <w:r w:rsidRPr="00C42F9A">
              <w:rPr>
                <w:sz w:val="19"/>
                <w:szCs w:val="19"/>
                <w:lang w:val="bg-BG"/>
              </w:rPr>
              <w:t xml:space="preserve"> считат, че традиционният подход с отделно об</w:t>
            </w:r>
            <w:r w:rsidR="00DF4B75">
              <w:rPr>
                <w:sz w:val="19"/>
                <w:szCs w:val="19"/>
                <w:lang w:val="bg-BG"/>
              </w:rPr>
              <w:softHyphen/>
            </w:r>
            <w:r w:rsidRPr="00C42F9A">
              <w:rPr>
                <w:sz w:val="19"/>
                <w:szCs w:val="19"/>
                <w:lang w:val="bg-BG"/>
              </w:rPr>
              <w:t>служване чрез различните дистрибу</w:t>
            </w:r>
            <w:r w:rsidR="00DF4B75">
              <w:rPr>
                <w:sz w:val="19"/>
                <w:szCs w:val="19"/>
                <w:lang w:val="bg-BG"/>
              </w:rPr>
              <w:softHyphen/>
            </w:r>
            <w:r w:rsidRPr="00C42F9A">
              <w:rPr>
                <w:sz w:val="19"/>
                <w:szCs w:val="19"/>
                <w:lang w:val="bg-BG"/>
              </w:rPr>
              <w:t>ционни канали (мобилно, онлайн банки</w:t>
            </w:r>
            <w:r w:rsidR="004D5657">
              <w:rPr>
                <w:sz w:val="19"/>
                <w:szCs w:val="19"/>
                <w:lang w:val="bg-BG"/>
              </w:rPr>
              <w:softHyphen/>
            </w:r>
            <w:r w:rsidRPr="00C42F9A">
              <w:rPr>
                <w:sz w:val="19"/>
                <w:szCs w:val="19"/>
                <w:lang w:val="bg-BG"/>
              </w:rPr>
              <w:t>ране,</w:t>
            </w:r>
            <w:r w:rsidRPr="00C42F9A">
              <w:rPr>
                <w:rFonts w:ascii="Times New Roman" w:hAnsi="Times New Roman"/>
                <w:sz w:val="19"/>
                <w:szCs w:val="19"/>
                <w:lang w:val="bg-BG"/>
              </w:rPr>
              <w:t xml:space="preserve"> </w:t>
            </w:r>
            <w:r w:rsidRPr="00C42F9A">
              <w:rPr>
                <w:sz w:val="19"/>
                <w:szCs w:val="19"/>
                <w:lang w:val="bg-BG"/>
              </w:rPr>
              <w:t>филиали) не е удобен нито за клиентите, нито служителите и не е ефек</w:t>
            </w:r>
            <w:r w:rsidR="00DD2AAD">
              <w:rPr>
                <w:sz w:val="19"/>
                <w:szCs w:val="19"/>
                <w:lang w:val="bg-BG"/>
              </w:rPr>
              <w:softHyphen/>
            </w:r>
            <w:r w:rsidRPr="00C42F9A">
              <w:rPr>
                <w:sz w:val="19"/>
                <w:szCs w:val="19"/>
                <w:lang w:val="bg-BG"/>
              </w:rPr>
              <w:t xml:space="preserve">тивен за финансовите институции. </w:t>
            </w:r>
          </w:p>
          <w:p w14:paraId="5E57443C" w14:textId="77777777" w:rsidR="00762BC4" w:rsidRPr="00C42F9A" w:rsidRDefault="00762BC4" w:rsidP="0097673E">
            <w:pPr>
              <w:pStyle w:val="a2"/>
              <w:rPr>
                <w:sz w:val="19"/>
                <w:szCs w:val="19"/>
                <w:lang w:val="bg-BG"/>
              </w:rPr>
            </w:pPr>
          </w:p>
          <w:p w14:paraId="04F3AF5F" w14:textId="6B311717" w:rsidR="001B7C24" w:rsidRPr="00C42F9A" w:rsidRDefault="001B7C24" w:rsidP="004D5657">
            <w:pPr>
              <w:pStyle w:val="a2"/>
              <w:spacing w:before="80"/>
              <w:jc w:val="center"/>
              <w:rPr>
                <w:sz w:val="19"/>
                <w:szCs w:val="19"/>
                <w:lang w:val="bg-BG"/>
              </w:rPr>
            </w:pPr>
            <w:r w:rsidRPr="00C42F9A">
              <w:rPr>
                <w:noProof/>
                <w:sz w:val="19"/>
                <w:szCs w:val="19"/>
                <w:bdr w:val="single" w:sz="4" w:space="0" w:color="auto"/>
                <w:lang w:val="bg-BG"/>
              </w:rPr>
              <w:drawing>
                <wp:inline distT="0" distB="0" distL="0" distR="0" wp14:anchorId="4033520A" wp14:editId="10A6CA08">
                  <wp:extent cx="2342957" cy="2091239"/>
                  <wp:effectExtent l="0" t="0" r="635" b="4445"/>
                  <wp:docPr id="1" name="Picture 1" descr="C:\Users\Nadia\AppData\Local\Microsoft\Windows\INetCache\Content.Word\картинка-backbase-b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adia\AppData\Local\Microsoft\Windows\INetCache\Content.Word\картинка-backbase-bg1.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5011" t="2273" r="4603" b="2989"/>
                          <a:stretch/>
                        </pic:blipFill>
                        <pic:spPr bwMode="auto">
                          <a:xfrm>
                            <a:off x="0" y="0"/>
                            <a:ext cx="2377641" cy="2122196"/>
                          </a:xfrm>
                          <a:prstGeom prst="rect">
                            <a:avLst/>
                          </a:prstGeom>
                          <a:noFill/>
                          <a:ln>
                            <a:noFill/>
                          </a:ln>
                          <a:extLst>
                            <a:ext uri="{53640926-AAD7-44D8-BBD7-CCE9431645EC}">
                              <a14:shadowObscured xmlns:a14="http://schemas.microsoft.com/office/drawing/2010/main"/>
                            </a:ext>
                          </a:extLst>
                        </pic:spPr>
                      </pic:pic>
                    </a:graphicData>
                  </a:graphic>
                </wp:inline>
              </w:drawing>
            </w:r>
          </w:p>
          <w:p w14:paraId="72BCAE21" w14:textId="77777777" w:rsidR="006C4B07" w:rsidRPr="00C42F9A" w:rsidRDefault="006C4B07" w:rsidP="004D5657">
            <w:pPr>
              <w:tabs>
                <w:tab w:val="left" w:pos="3823"/>
                <w:tab w:val="left" w:pos="3965"/>
              </w:tabs>
              <w:ind w:left="-146" w:right="-144"/>
              <w:rPr>
                <w:rFonts w:ascii="Verdana" w:hAnsi="Verdana"/>
                <w:sz w:val="19"/>
                <w:szCs w:val="19"/>
              </w:rPr>
            </w:pPr>
            <w:r w:rsidRPr="00C42F9A">
              <w:rPr>
                <w:rFonts w:ascii="Verdana" w:hAnsi="Verdana"/>
                <w:sz w:val="19"/>
                <w:szCs w:val="19"/>
              </w:rPr>
              <w:t>Фиг. 1. Стълбове на банкирането към 2025 г.</w:t>
            </w:r>
          </w:p>
          <w:p w14:paraId="030E8AA9" w14:textId="68B9905A" w:rsidR="00D93299" w:rsidRPr="000804D5" w:rsidRDefault="006C4B07" w:rsidP="005066E0">
            <w:pPr>
              <w:spacing w:after="40"/>
              <w:rPr>
                <w:sz w:val="19"/>
                <w:szCs w:val="19"/>
              </w:rPr>
            </w:pPr>
            <w:r w:rsidRPr="00C42F9A">
              <w:rPr>
                <w:rFonts w:ascii="Verdana" w:hAnsi="Verdana"/>
                <w:i/>
                <w:sz w:val="19"/>
                <w:szCs w:val="19"/>
              </w:rPr>
              <w:t xml:space="preserve">Източник: </w:t>
            </w:r>
            <w:proofErr w:type="spellStart"/>
            <w:r w:rsidRPr="00C42F9A">
              <w:rPr>
                <w:rFonts w:ascii="Verdana" w:hAnsi="Verdana"/>
                <w:i/>
                <w:sz w:val="19"/>
                <w:szCs w:val="19"/>
              </w:rPr>
              <w:t>Banking</w:t>
            </w:r>
            <w:proofErr w:type="spellEnd"/>
            <w:r w:rsidRPr="00C42F9A">
              <w:rPr>
                <w:rFonts w:ascii="Verdana" w:hAnsi="Verdana"/>
                <w:i/>
                <w:sz w:val="19"/>
                <w:szCs w:val="19"/>
              </w:rPr>
              <w:t xml:space="preserve"> 2025 </w:t>
            </w:r>
            <w:proofErr w:type="spellStart"/>
            <w:r w:rsidRPr="00C42F9A">
              <w:rPr>
                <w:rFonts w:ascii="Verdana" w:hAnsi="Verdana"/>
                <w:i/>
                <w:sz w:val="19"/>
                <w:szCs w:val="19"/>
              </w:rPr>
              <w:t>Four</w:t>
            </w:r>
            <w:proofErr w:type="spellEnd"/>
            <w:r w:rsidRPr="00C42F9A">
              <w:rPr>
                <w:rFonts w:ascii="Verdana" w:hAnsi="Verdana"/>
                <w:i/>
                <w:sz w:val="19"/>
                <w:szCs w:val="19"/>
              </w:rPr>
              <w:t xml:space="preserve"> </w:t>
            </w:r>
            <w:proofErr w:type="spellStart"/>
            <w:r w:rsidRPr="00C42F9A">
              <w:rPr>
                <w:rFonts w:ascii="Verdana" w:hAnsi="Verdana"/>
                <w:i/>
                <w:sz w:val="19"/>
                <w:szCs w:val="19"/>
              </w:rPr>
              <w:t>pillars</w:t>
            </w:r>
            <w:proofErr w:type="spellEnd"/>
            <w:r w:rsidRPr="00C42F9A">
              <w:rPr>
                <w:rFonts w:ascii="Verdana" w:hAnsi="Verdana"/>
                <w:i/>
                <w:sz w:val="19"/>
                <w:szCs w:val="19"/>
              </w:rPr>
              <w:t xml:space="preserve"> </w:t>
            </w:r>
            <w:proofErr w:type="spellStart"/>
            <w:r w:rsidRPr="00C42F9A">
              <w:rPr>
                <w:rFonts w:ascii="Verdana" w:hAnsi="Verdana"/>
                <w:i/>
                <w:sz w:val="19"/>
                <w:szCs w:val="19"/>
              </w:rPr>
              <w:t>of</w:t>
            </w:r>
            <w:proofErr w:type="spellEnd"/>
            <w:r w:rsidRPr="00C42F9A">
              <w:rPr>
                <w:rFonts w:ascii="Verdana" w:hAnsi="Verdana"/>
                <w:i/>
                <w:sz w:val="19"/>
                <w:szCs w:val="19"/>
              </w:rPr>
              <w:t xml:space="preserve"> </w:t>
            </w:r>
            <w:proofErr w:type="spellStart"/>
            <w:r w:rsidRPr="00C42F9A">
              <w:rPr>
                <w:rFonts w:ascii="Verdana" w:hAnsi="Verdana"/>
                <w:i/>
                <w:sz w:val="19"/>
                <w:szCs w:val="19"/>
              </w:rPr>
              <w:t>the</w:t>
            </w:r>
            <w:proofErr w:type="spellEnd"/>
            <w:r w:rsidRPr="00C42F9A">
              <w:rPr>
                <w:rFonts w:ascii="Verdana" w:hAnsi="Verdana"/>
                <w:i/>
                <w:sz w:val="19"/>
                <w:szCs w:val="19"/>
              </w:rPr>
              <w:t xml:space="preserve"> </w:t>
            </w:r>
            <w:proofErr w:type="spellStart"/>
            <w:r w:rsidRPr="00C42F9A">
              <w:rPr>
                <w:rFonts w:ascii="Verdana" w:hAnsi="Verdana"/>
                <w:i/>
                <w:sz w:val="19"/>
                <w:szCs w:val="19"/>
              </w:rPr>
              <w:t>digital-first</w:t>
            </w:r>
            <w:proofErr w:type="spellEnd"/>
            <w:r w:rsidRPr="00C42F9A">
              <w:rPr>
                <w:rFonts w:ascii="Verdana" w:hAnsi="Verdana"/>
                <w:i/>
                <w:sz w:val="19"/>
                <w:szCs w:val="19"/>
              </w:rPr>
              <w:t xml:space="preserve"> </w:t>
            </w:r>
            <w:proofErr w:type="spellStart"/>
            <w:r w:rsidRPr="00C42F9A">
              <w:rPr>
                <w:rFonts w:ascii="Verdana" w:hAnsi="Verdana"/>
                <w:i/>
                <w:sz w:val="19"/>
                <w:szCs w:val="19"/>
              </w:rPr>
              <w:t>bank</w:t>
            </w:r>
            <w:proofErr w:type="spellEnd"/>
            <w:r w:rsidRPr="00C42F9A">
              <w:rPr>
                <w:rFonts w:ascii="Verdana" w:hAnsi="Verdana"/>
                <w:i/>
                <w:sz w:val="19"/>
                <w:szCs w:val="19"/>
              </w:rPr>
              <w:t>, 2018.</w:t>
            </w:r>
          </w:p>
        </w:tc>
      </w:tr>
    </w:tbl>
    <w:p w14:paraId="6D74343B" w14:textId="77777777" w:rsidR="00896DCE" w:rsidRPr="009B769D" w:rsidRDefault="00896DCE" w:rsidP="00896DCE">
      <w:pPr>
        <w:pStyle w:val="a2"/>
        <w:jc w:val="center"/>
        <w:rPr>
          <w:noProof/>
          <w:lang w:val="bg-BG"/>
        </w:rPr>
      </w:pPr>
      <w:r w:rsidRPr="009B769D">
        <w:rPr>
          <w:noProof/>
          <w:lang w:val="bg-BG"/>
        </w:rPr>
        <w:lastRenderedPageBreak/>
        <w:drawing>
          <wp:inline distT="0" distB="0" distL="0" distR="0" wp14:anchorId="4FE31EED" wp14:editId="2B72E8FC">
            <wp:extent cx="4086639" cy="2789165"/>
            <wp:effectExtent l="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7845" cy="2789988"/>
                    </a:xfrm>
                    <a:prstGeom prst="rect">
                      <a:avLst/>
                    </a:prstGeom>
                    <a:noFill/>
                    <a:ln>
                      <a:noFill/>
                    </a:ln>
                  </pic:spPr>
                </pic:pic>
              </a:graphicData>
            </a:graphic>
          </wp:inline>
        </w:drawing>
      </w:r>
    </w:p>
    <w:p w14:paraId="1E04BC3D" w14:textId="66AE72FA" w:rsidR="00896DCE" w:rsidRPr="009B769D" w:rsidRDefault="00896DCE" w:rsidP="00896DCE">
      <w:pPr>
        <w:pStyle w:val="a2"/>
        <w:spacing w:after="0"/>
        <w:jc w:val="center"/>
        <w:rPr>
          <w:lang w:val="ru-RU"/>
        </w:rPr>
      </w:pPr>
      <w:proofErr w:type="spellStart"/>
      <w:r w:rsidRPr="009B769D">
        <w:rPr>
          <w:lang w:val="ru-RU"/>
        </w:rPr>
        <w:t>Figure</w:t>
      </w:r>
      <w:proofErr w:type="spellEnd"/>
      <w:r w:rsidRPr="009B769D">
        <w:rPr>
          <w:lang w:val="ru-RU"/>
        </w:rPr>
        <w:t xml:space="preserve"> </w:t>
      </w:r>
      <w:r>
        <w:rPr>
          <w:lang w:val="ru-RU"/>
        </w:rPr>
        <w:t>2</w:t>
      </w:r>
      <w:r w:rsidRPr="009B769D">
        <w:rPr>
          <w:lang w:val="ru-RU"/>
        </w:rPr>
        <w:t xml:space="preserve">. </w:t>
      </w:r>
      <w:proofErr w:type="spellStart"/>
      <w:r w:rsidRPr="009B769D">
        <w:rPr>
          <w:lang w:val="ru-RU"/>
        </w:rPr>
        <w:t>Comparison</w:t>
      </w:r>
      <w:proofErr w:type="spellEnd"/>
      <w:r w:rsidRPr="009B769D">
        <w:rPr>
          <w:lang w:val="ru-RU"/>
        </w:rPr>
        <w:t xml:space="preserve"> </w:t>
      </w:r>
      <w:proofErr w:type="spellStart"/>
      <w:r w:rsidRPr="009B769D">
        <w:rPr>
          <w:lang w:val="ru-RU"/>
        </w:rPr>
        <w:t>of</w:t>
      </w:r>
      <w:proofErr w:type="spellEnd"/>
      <w:r w:rsidRPr="009B769D">
        <w:rPr>
          <w:lang w:val="ru-RU"/>
        </w:rPr>
        <w:t xml:space="preserve"> </w:t>
      </w:r>
      <w:proofErr w:type="spellStart"/>
      <w:r w:rsidRPr="009B769D">
        <w:rPr>
          <w:lang w:val="ru-RU"/>
        </w:rPr>
        <w:t>smart</w:t>
      </w:r>
      <w:proofErr w:type="spellEnd"/>
      <w:r w:rsidRPr="009B769D">
        <w:rPr>
          <w:lang w:val="ru-RU"/>
        </w:rPr>
        <w:t xml:space="preserve"> </w:t>
      </w:r>
      <w:proofErr w:type="spellStart"/>
      <w:r w:rsidRPr="009B769D">
        <w:rPr>
          <w:lang w:val="ru-RU"/>
        </w:rPr>
        <w:t>specialisation</w:t>
      </w:r>
      <w:proofErr w:type="spellEnd"/>
      <w:r w:rsidRPr="009B769D">
        <w:rPr>
          <w:lang w:val="ru-RU"/>
        </w:rPr>
        <w:t xml:space="preserve"> </w:t>
      </w:r>
      <w:proofErr w:type="spellStart"/>
      <w:r w:rsidRPr="009B769D">
        <w:rPr>
          <w:lang w:val="ru-RU"/>
        </w:rPr>
        <w:t>level</w:t>
      </w:r>
      <w:proofErr w:type="spellEnd"/>
      <w:r w:rsidRPr="009B769D">
        <w:rPr>
          <w:lang w:val="ru-RU"/>
        </w:rPr>
        <w:t xml:space="preserve"> </w:t>
      </w:r>
      <w:proofErr w:type="spellStart"/>
      <w:r w:rsidRPr="009B769D">
        <w:rPr>
          <w:lang w:val="ru-RU"/>
        </w:rPr>
        <w:t>in</w:t>
      </w:r>
      <w:proofErr w:type="spellEnd"/>
      <w:r w:rsidRPr="009B769D">
        <w:rPr>
          <w:lang w:val="ru-RU"/>
        </w:rPr>
        <w:t xml:space="preserve"> </w:t>
      </w:r>
      <w:proofErr w:type="spellStart"/>
      <w:r w:rsidRPr="009B769D">
        <w:rPr>
          <w:lang w:val="ru-RU"/>
        </w:rPr>
        <w:t>the</w:t>
      </w:r>
      <w:proofErr w:type="spellEnd"/>
      <w:r w:rsidRPr="009B769D">
        <w:rPr>
          <w:lang w:val="ru-RU"/>
        </w:rPr>
        <w:t xml:space="preserve"> EU </w:t>
      </w:r>
      <w:proofErr w:type="spellStart"/>
      <w:r w:rsidRPr="009B769D">
        <w:rPr>
          <w:lang w:val="ru-RU"/>
        </w:rPr>
        <w:t>regions</w:t>
      </w:r>
      <w:proofErr w:type="spellEnd"/>
      <w:r w:rsidRPr="009B769D">
        <w:rPr>
          <w:lang w:val="ru-RU"/>
        </w:rPr>
        <w:t xml:space="preserve">, 2019 </w:t>
      </w:r>
    </w:p>
    <w:p w14:paraId="36B62CEE" w14:textId="6BC17461" w:rsidR="00896DCE" w:rsidRDefault="00896DCE" w:rsidP="00826521">
      <w:pPr>
        <w:pStyle w:val="a2"/>
        <w:spacing w:after="0"/>
        <w:jc w:val="center"/>
        <w:rPr>
          <w:lang w:val="ru-RU"/>
        </w:rPr>
      </w:pPr>
      <w:r w:rsidRPr="009B769D">
        <w:rPr>
          <w:lang w:val="ru-RU"/>
        </w:rPr>
        <w:t xml:space="preserve">Source: European Investment Bank </w:t>
      </w:r>
    </w:p>
    <w:p w14:paraId="779A9F47" w14:textId="77777777" w:rsidR="00826521" w:rsidRPr="009B769D" w:rsidRDefault="00826521" w:rsidP="00826521">
      <w:pPr>
        <w:pStyle w:val="a2"/>
        <w:spacing w:after="0"/>
        <w:jc w:val="center"/>
        <w:rPr>
          <w:lang w:val="ru-RU"/>
        </w:rPr>
      </w:pPr>
    </w:p>
    <w:p w14:paraId="05E665DB" w14:textId="77777777" w:rsidR="00896DCE" w:rsidRPr="009B769D" w:rsidRDefault="00896DCE" w:rsidP="00896DCE">
      <w:pPr>
        <w:pStyle w:val="a2"/>
        <w:spacing w:after="0"/>
        <w:jc w:val="center"/>
        <w:rPr>
          <w:lang w:val="ru-RU"/>
        </w:rPr>
      </w:pPr>
      <w:r>
        <w:rPr>
          <w:lang w:val="ru-RU"/>
        </w:rPr>
        <w:t xml:space="preserve">Фигура 2. </w:t>
      </w:r>
      <w:r w:rsidRPr="009B769D">
        <w:rPr>
          <w:lang w:val="ru-RU"/>
        </w:rPr>
        <w:t xml:space="preserve">Степен на умна </w:t>
      </w:r>
      <w:proofErr w:type="spellStart"/>
      <w:r w:rsidRPr="009B769D">
        <w:rPr>
          <w:lang w:val="ru-RU"/>
        </w:rPr>
        <w:t>специалиация</w:t>
      </w:r>
      <w:proofErr w:type="spellEnd"/>
      <w:r w:rsidRPr="009B769D">
        <w:rPr>
          <w:lang w:val="ru-RU"/>
        </w:rPr>
        <w:t xml:space="preserve"> в ЕС 28, 2019</w:t>
      </w:r>
      <w:r>
        <w:rPr>
          <w:lang w:val="ru-RU"/>
        </w:rPr>
        <w:t xml:space="preserve"> </w:t>
      </w:r>
      <w:r w:rsidRPr="009B769D">
        <w:rPr>
          <w:lang w:val="ru-RU"/>
        </w:rPr>
        <w:t>г.</w:t>
      </w:r>
    </w:p>
    <w:p w14:paraId="72DE294B" w14:textId="77777777" w:rsidR="00896DCE" w:rsidRDefault="00896DCE" w:rsidP="00896DCE">
      <w:pPr>
        <w:pStyle w:val="a2"/>
        <w:jc w:val="center"/>
        <w:rPr>
          <w:lang w:val="ru-RU"/>
        </w:rPr>
      </w:pPr>
      <w:proofErr w:type="spellStart"/>
      <w:r w:rsidRPr="009B769D">
        <w:rPr>
          <w:lang w:val="ru-RU"/>
        </w:rPr>
        <w:t>Източник</w:t>
      </w:r>
      <w:proofErr w:type="spellEnd"/>
      <w:r w:rsidRPr="009B769D">
        <w:rPr>
          <w:lang w:val="ru-RU"/>
        </w:rPr>
        <w:t xml:space="preserve">: </w:t>
      </w:r>
      <w:proofErr w:type="spellStart"/>
      <w:r w:rsidRPr="009B769D">
        <w:rPr>
          <w:lang w:val="ru-RU"/>
        </w:rPr>
        <w:t>Европейска</w:t>
      </w:r>
      <w:proofErr w:type="spellEnd"/>
      <w:r w:rsidRPr="009B769D">
        <w:rPr>
          <w:lang w:val="ru-RU"/>
        </w:rPr>
        <w:t xml:space="preserve"> </w:t>
      </w:r>
      <w:proofErr w:type="spellStart"/>
      <w:r w:rsidRPr="009B769D">
        <w:rPr>
          <w:lang w:val="ru-RU"/>
        </w:rPr>
        <w:t>инвестиционна</w:t>
      </w:r>
      <w:proofErr w:type="spellEnd"/>
      <w:r w:rsidRPr="009B769D">
        <w:rPr>
          <w:lang w:val="ru-RU"/>
        </w:rPr>
        <w:t xml:space="preserve"> банка</w:t>
      </w:r>
    </w:p>
    <w:p w14:paraId="26211223" w14:textId="77777777" w:rsidR="00A765F8" w:rsidRDefault="00A765F8" w:rsidP="005777F3">
      <w:pPr>
        <w:pStyle w:val="a2"/>
        <w:spacing w:after="120"/>
        <w:jc w:val="center"/>
        <w:rPr>
          <w:lang w:val="en-GB"/>
        </w:rPr>
      </w:pP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tblBorders>
        <w:tblCellMar>
          <w:top w:w="57" w:type="dxa"/>
          <w:left w:w="284" w:type="dxa"/>
          <w:bottom w:w="57" w:type="dxa"/>
          <w:right w:w="284" w:type="dxa"/>
        </w:tblCellMar>
        <w:tblLook w:val="04A0" w:firstRow="1" w:lastRow="0" w:firstColumn="1" w:lastColumn="0" w:noHBand="0" w:noVBand="1"/>
      </w:tblPr>
      <w:tblGrid>
        <w:gridCol w:w="4820"/>
        <w:gridCol w:w="4820"/>
      </w:tblGrid>
      <w:tr w:rsidR="00A765F8" w:rsidRPr="009B769D" w14:paraId="5A51C685" w14:textId="77777777" w:rsidTr="007F6587">
        <w:tc>
          <w:tcPr>
            <w:tcW w:w="4820" w:type="dxa"/>
          </w:tcPr>
          <w:p w14:paraId="787DC610" w14:textId="77777777" w:rsidR="00C23A51" w:rsidRPr="009B769D" w:rsidRDefault="00C23A51" w:rsidP="00C23A51">
            <w:pPr>
              <w:pStyle w:val="a2"/>
              <w:rPr>
                <w:lang w:val="en-GB"/>
              </w:rPr>
            </w:pPr>
            <w:r w:rsidRPr="009B769D">
              <w:rPr>
                <w:lang w:val="en-GB"/>
              </w:rPr>
              <w:t xml:space="preserve">Apart from the retail, a major employer in the region is the science and technology sector⁶. Meanwhile, the levels of digitalisation and internet access are in a comparatively strong position in the EU (EUROSTAT, 2020). </w:t>
            </w:r>
          </w:p>
          <w:p w14:paraId="666B22E4" w14:textId="0C2446AE" w:rsidR="00A765F8" w:rsidRPr="0084669C" w:rsidRDefault="00C23A51" w:rsidP="00C23A51">
            <w:pPr>
              <w:pStyle w:val="a2"/>
              <w:rPr>
                <w:lang w:val="en-GB"/>
              </w:rPr>
            </w:pPr>
            <w:r w:rsidRPr="009B769D">
              <w:rPr>
                <w:lang w:val="en-GB"/>
              </w:rPr>
              <w:t xml:space="preserve">In relation to that, a survey was developed and conducted among the industrial </w:t>
            </w:r>
            <w:proofErr w:type="spellStart"/>
            <w:r w:rsidRPr="009B769D">
              <w:rPr>
                <w:lang w:val="en-GB"/>
              </w:rPr>
              <w:t>enterprizes</w:t>
            </w:r>
            <w:proofErr w:type="spellEnd"/>
            <w:r w:rsidRPr="009B769D">
              <w:rPr>
                <w:lang w:val="en-GB"/>
              </w:rPr>
              <w:t xml:space="preserve"> in the North Central Region in Bulgaria aiming to look at possible influence of COVID-19 on the local economy.</w:t>
            </w:r>
          </w:p>
        </w:tc>
        <w:tc>
          <w:tcPr>
            <w:tcW w:w="4820" w:type="dxa"/>
          </w:tcPr>
          <w:p w14:paraId="705E082D" w14:textId="77777777" w:rsidR="00776741" w:rsidRPr="009B769D" w:rsidRDefault="00776741" w:rsidP="00776741">
            <w:pPr>
              <w:pStyle w:val="a2"/>
              <w:rPr>
                <w:sz w:val="19"/>
                <w:szCs w:val="19"/>
                <w:lang w:val="bg-BG"/>
              </w:rPr>
            </w:pPr>
            <w:r w:rsidRPr="009B769D">
              <w:rPr>
                <w:sz w:val="19"/>
                <w:szCs w:val="19"/>
                <w:lang w:val="bg-BG"/>
              </w:rPr>
              <w:t>Интересна тенденция представлява фактът, че висока заетост осигуряват науката и технологиите, а цифровизаци</w:t>
            </w:r>
            <w:r w:rsidRPr="009B769D">
              <w:rPr>
                <w:sz w:val="19"/>
                <w:szCs w:val="19"/>
                <w:lang w:val="bg-BG"/>
              </w:rPr>
              <w:softHyphen/>
              <w:t>ята и интернет достъпът са на едно срав</w:t>
            </w:r>
            <w:r w:rsidRPr="009B769D">
              <w:rPr>
                <w:sz w:val="19"/>
                <w:szCs w:val="19"/>
                <w:lang w:val="bg-BG"/>
              </w:rPr>
              <w:softHyphen/>
              <w:t>нително добро ниво в ЕС (EUROSTAT, 2020).</w:t>
            </w:r>
          </w:p>
          <w:p w14:paraId="37267B37" w14:textId="626C8953" w:rsidR="00A765F8" w:rsidRPr="009B769D" w:rsidRDefault="00776741" w:rsidP="00776741">
            <w:pPr>
              <w:pStyle w:val="a2"/>
              <w:rPr>
                <w:sz w:val="19"/>
                <w:szCs w:val="19"/>
              </w:rPr>
            </w:pPr>
            <w:r w:rsidRPr="009B769D">
              <w:rPr>
                <w:sz w:val="19"/>
                <w:szCs w:val="19"/>
                <w:lang w:val="bg-BG"/>
              </w:rPr>
              <w:t>В тази връзка, бе изготвено и проведено анкетно проучване  сред индустриалните организации в региона относно отраже</w:t>
            </w:r>
            <w:r w:rsidRPr="009B769D">
              <w:rPr>
                <w:sz w:val="19"/>
                <w:szCs w:val="19"/>
                <w:lang w:val="bg-BG"/>
              </w:rPr>
              <w:softHyphen/>
              <w:t>нието върху бизнеса на извънредното положение в резултат на COVID-19.</w:t>
            </w:r>
          </w:p>
        </w:tc>
      </w:tr>
    </w:tbl>
    <w:p w14:paraId="0046F353" w14:textId="77777777" w:rsidR="00762BC4" w:rsidRPr="009B769D" w:rsidRDefault="00762BC4" w:rsidP="00762BC4">
      <w:pPr>
        <w:pStyle w:val="a2"/>
        <w:spacing w:before="120"/>
        <w:jc w:val="center"/>
        <w:rPr>
          <w:noProof/>
          <w:lang w:val="bg-BG"/>
        </w:rPr>
      </w:pPr>
      <w:r w:rsidRPr="009B769D">
        <w:rPr>
          <w:noProof/>
          <w:lang w:val="bg-BG"/>
        </w:rPr>
        <w:drawing>
          <wp:inline distT="0" distB="0" distL="0" distR="0" wp14:anchorId="6EDF588F" wp14:editId="46B8D740">
            <wp:extent cx="4048419" cy="2027582"/>
            <wp:effectExtent l="0" t="0" r="9525" b="0"/>
            <wp:docPr id="13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20345" cy="2063605"/>
                    </a:xfrm>
                    <a:prstGeom prst="rect">
                      <a:avLst/>
                    </a:prstGeom>
                    <a:noFill/>
                    <a:ln>
                      <a:noFill/>
                    </a:ln>
                  </pic:spPr>
                </pic:pic>
              </a:graphicData>
            </a:graphic>
          </wp:inline>
        </w:drawing>
      </w:r>
    </w:p>
    <w:p w14:paraId="3CF15C18" w14:textId="64C4CAD0" w:rsidR="00762BC4" w:rsidRPr="009B769D" w:rsidRDefault="00762BC4" w:rsidP="00762BC4">
      <w:pPr>
        <w:pStyle w:val="a2"/>
        <w:spacing w:after="0"/>
        <w:jc w:val="center"/>
        <w:rPr>
          <w:lang w:val="en-GB"/>
        </w:rPr>
      </w:pPr>
      <w:r w:rsidRPr="009B769D">
        <w:rPr>
          <w:lang w:val="en-GB"/>
        </w:rPr>
        <w:t xml:space="preserve">Figure </w:t>
      </w:r>
      <w:r>
        <w:rPr>
          <w:lang w:val="bg-BG"/>
        </w:rPr>
        <w:t>3</w:t>
      </w:r>
      <w:r w:rsidRPr="009B769D">
        <w:rPr>
          <w:lang w:val="en-GB"/>
        </w:rPr>
        <w:t>. Summary statistics of the sample</w:t>
      </w:r>
    </w:p>
    <w:p w14:paraId="1266CD41" w14:textId="77777777" w:rsidR="00762BC4" w:rsidRPr="009B769D" w:rsidRDefault="00762BC4" w:rsidP="00762BC4">
      <w:pPr>
        <w:pStyle w:val="a2"/>
        <w:spacing w:after="0"/>
        <w:jc w:val="center"/>
        <w:rPr>
          <w:lang w:val="en-GB"/>
        </w:rPr>
      </w:pPr>
      <w:r w:rsidRPr="009B769D">
        <w:rPr>
          <w:lang w:val="en-GB"/>
        </w:rPr>
        <w:t>Source: European Cluster Collaboration Platform 2020</w:t>
      </w:r>
    </w:p>
    <w:p w14:paraId="0CDCF1E3" w14:textId="77777777" w:rsidR="00762BC4" w:rsidRPr="009B769D" w:rsidRDefault="00762BC4" w:rsidP="00762BC4">
      <w:pPr>
        <w:pStyle w:val="a2"/>
        <w:spacing w:after="0"/>
        <w:jc w:val="center"/>
        <w:rPr>
          <w:lang w:val="en-GB"/>
        </w:rPr>
      </w:pPr>
    </w:p>
    <w:p w14:paraId="13383895" w14:textId="25DD8E25" w:rsidR="00762BC4" w:rsidRPr="009B769D" w:rsidRDefault="00762BC4" w:rsidP="00762BC4">
      <w:pPr>
        <w:pStyle w:val="a2"/>
        <w:spacing w:after="0"/>
        <w:jc w:val="center"/>
        <w:rPr>
          <w:lang w:val="en-GB"/>
        </w:rPr>
      </w:pPr>
      <w:proofErr w:type="spellStart"/>
      <w:r>
        <w:rPr>
          <w:lang w:val="en-GB"/>
        </w:rPr>
        <w:t>Фигура</w:t>
      </w:r>
      <w:proofErr w:type="spellEnd"/>
      <w:r>
        <w:rPr>
          <w:lang w:val="en-GB"/>
        </w:rPr>
        <w:t xml:space="preserve"> </w:t>
      </w:r>
      <w:r>
        <w:rPr>
          <w:lang w:val="bg-BG"/>
        </w:rPr>
        <w:t>3</w:t>
      </w:r>
      <w:r>
        <w:rPr>
          <w:lang w:val="en-GB"/>
        </w:rPr>
        <w:t xml:space="preserve">. </w:t>
      </w:r>
      <w:proofErr w:type="spellStart"/>
      <w:r>
        <w:rPr>
          <w:lang w:val="en-GB"/>
        </w:rPr>
        <w:t>Сфер</w:t>
      </w:r>
      <w:proofErr w:type="spellEnd"/>
      <w:r>
        <w:rPr>
          <w:lang w:val="bg-BG"/>
        </w:rPr>
        <w:t>и</w:t>
      </w:r>
      <w:r w:rsidRPr="009B769D">
        <w:rPr>
          <w:lang w:val="en-GB"/>
        </w:rPr>
        <w:t xml:space="preserve"> </w:t>
      </w:r>
      <w:proofErr w:type="spellStart"/>
      <w:r w:rsidRPr="009B769D">
        <w:rPr>
          <w:lang w:val="en-GB"/>
        </w:rPr>
        <w:t>на</w:t>
      </w:r>
      <w:proofErr w:type="spellEnd"/>
      <w:r w:rsidRPr="009B769D">
        <w:rPr>
          <w:lang w:val="en-GB"/>
        </w:rPr>
        <w:t xml:space="preserve"> </w:t>
      </w:r>
      <w:proofErr w:type="spellStart"/>
      <w:r w:rsidRPr="009B769D">
        <w:rPr>
          <w:lang w:val="en-GB"/>
        </w:rPr>
        <w:t>опериране</w:t>
      </w:r>
      <w:proofErr w:type="spellEnd"/>
      <w:r w:rsidRPr="009B769D">
        <w:rPr>
          <w:lang w:val="en-GB"/>
        </w:rPr>
        <w:t xml:space="preserve"> </w:t>
      </w:r>
      <w:proofErr w:type="spellStart"/>
      <w:r w:rsidRPr="009B769D">
        <w:rPr>
          <w:lang w:val="en-GB"/>
        </w:rPr>
        <w:t>на</w:t>
      </w:r>
      <w:proofErr w:type="spellEnd"/>
      <w:r w:rsidRPr="009B769D">
        <w:rPr>
          <w:lang w:val="en-GB"/>
        </w:rPr>
        <w:t xml:space="preserve"> </w:t>
      </w:r>
      <w:proofErr w:type="spellStart"/>
      <w:r w:rsidRPr="009B769D">
        <w:rPr>
          <w:lang w:val="en-GB"/>
        </w:rPr>
        <w:t>компаниите</w:t>
      </w:r>
      <w:proofErr w:type="spellEnd"/>
      <w:r w:rsidRPr="009B769D">
        <w:rPr>
          <w:lang w:val="en-GB"/>
        </w:rPr>
        <w:t xml:space="preserve">, </w:t>
      </w:r>
      <w:proofErr w:type="spellStart"/>
      <w:r w:rsidRPr="009B769D">
        <w:rPr>
          <w:lang w:val="en-GB"/>
        </w:rPr>
        <w:t>участващи</w:t>
      </w:r>
      <w:proofErr w:type="spellEnd"/>
      <w:r w:rsidRPr="009B769D">
        <w:rPr>
          <w:lang w:val="en-GB"/>
        </w:rPr>
        <w:t xml:space="preserve"> в </w:t>
      </w:r>
      <w:proofErr w:type="spellStart"/>
      <w:r w:rsidRPr="009B769D">
        <w:rPr>
          <w:lang w:val="en-GB"/>
        </w:rPr>
        <w:t>анкетата</w:t>
      </w:r>
      <w:proofErr w:type="spellEnd"/>
    </w:p>
    <w:p w14:paraId="5D4DA8EB" w14:textId="3FA2E973" w:rsidR="00896DCE" w:rsidRDefault="00896DCE" w:rsidP="005777F3">
      <w:pPr>
        <w:pStyle w:val="a2"/>
        <w:spacing w:after="120"/>
        <w:jc w:val="center"/>
        <w:rPr>
          <w:lang w:val="en-GB"/>
        </w:rPr>
      </w:pP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single" w:sz="8" w:space="0" w:color="000000"/>
        </w:tblBorders>
        <w:tblCellMar>
          <w:top w:w="57" w:type="dxa"/>
          <w:left w:w="284" w:type="dxa"/>
          <w:bottom w:w="57" w:type="dxa"/>
          <w:right w:w="284" w:type="dxa"/>
        </w:tblCellMar>
        <w:tblLook w:val="04A0" w:firstRow="1" w:lastRow="0" w:firstColumn="1" w:lastColumn="0" w:noHBand="0" w:noVBand="1"/>
      </w:tblPr>
      <w:tblGrid>
        <w:gridCol w:w="4820"/>
        <w:gridCol w:w="4820"/>
      </w:tblGrid>
      <w:tr w:rsidR="00E92008" w:rsidRPr="009B769D" w14:paraId="0FBA9945" w14:textId="77777777" w:rsidTr="007F6587">
        <w:tc>
          <w:tcPr>
            <w:tcW w:w="4820" w:type="dxa"/>
          </w:tcPr>
          <w:p w14:paraId="25D16FB9" w14:textId="18831358" w:rsidR="00E92008" w:rsidRPr="009B769D" w:rsidRDefault="00E92008" w:rsidP="007F6587">
            <w:pPr>
              <w:pStyle w:val="a2"/>
              <w:rPr>
                <w:b/>
                <w:bCs/>
                <w:lang w:val="en-GB"/>
              </w:rPr>
            </w:pPr>
            <w:r w:rsidRPr="009B769D">
              <w:rPr>
                <w:b/>
                <w:bCs/>
                <w:lang w:val="en-GB"/>
              </w:rPr>
              <w:lastRenderedPageBreak/>
              <w:t>CONCLUSIONS</w:t>
            </w:r>
          </w:p>
          <w:p w14:paraId="6EB7D93B" w14:textId="77777777" w:rsidR="00E92008" w:rsidRDefault="00E92008" w:rsidP="007F6587">
            <w:pPr>
              <w:pStyle w:val="a2"/>
              <w:rPr>
                <w:lang w:val="en-GB"/>
              </w:rPr>
            </w:pPr>
            <w:r w:rsidRPr="009B769D">
              <w:rPr>
                <w:lang w:val="en-GB"/>
              </w:rPr>
              <w:t xml:space="preserve">Everything starts with the company itself. The Business needs to be adaptive, flexible and efficient, being able not only to foresee negative future events, but also to take advantage of them. </w:t>
            </w:r>
          </w:p>
          <w:p w14:paraId="1E15ADA6" w14:textId="77777777" w:rsidR="00E92008" w:rsidRDefault="00E92008" w:rsidP="007F6587">
            <w:pPr>
              <w:pStyle w:val="a2"/>
              <w:rPr>
                <w:lang w:val="en-GB"/>
              </w:rPr>
            </w:pPr>
            <w:r w:rsidRPr="009B769D">
              <w:rPr>
                <w:lang w:val="en-GB"/>
              </w:rPr>
              <w:t>After all, providing save environment at the working place, digitalised services and more on</w:t>
            </w:r>
            <w:r>
              <w:rPr>
                <w:lang w:val="en-GB"/>
              </w:rPr>
              <w:t>-line presence (</w:t>
            </w:r>
            <w:proofErr w:type="spellStart"/>
            <w:r>
              <w:rPr>
                <w:lang w:val="en-GB"/>
              </w:rPr>
              <w:t>Boneva</w:t>
            </w:r>
            <w:proofErr w:type="spellEnd"/>
            <w:r>
              <w:rPr>
                <w:lang w:val="en-GB"/>
              </w:rPr>
              <w:t>, 2016,</w:t>
            </w:r>
            <w:r w:rsidRPr="009B769D">
              <w:rPr>
                <w:lang w:val="en-GB"/>
              </w:rPr>
              <w:t xml:space="preserve"> 2018; </w:t>
            </w:r>
            <w:proofErr w:type="spellStart"/>
            <w:r w:rsidRPr="009B769D">
              <w:rPr>
                <w:lang w:val="en-GB"/>
              </w:rPr>
              <w:t>Petkov</w:t>
            </w:r>
            <w:proofErr w:type="spellEnd"/>
            <w:r w:rsidRPr="009B769D">
              <w:rPr>
                <w:lang w:val="en-GB"/>
              </w:rPr>
              <w:t xml:space="preserve"> 2016) are obligatory for the organizations in “the new normal situation”. </w:t>
            </w:r>
          </w:p>
          <w:p w14:paraId="3715DA9C" w14:textId="1E23D9EA" w:rsidR="00E92008" w:rsidRPr="009B769D" w:rsidRDefault="00E92008" w:rsidP="007F6587">
            <w:pPr>
              <w:pStyle w:val="a2"/>
              <w:rPr>
                <w:lang w:val="en-GB"/>
              </w:rPr>
            </w:pPr>
            <w:r w:rsidRPr="009B769D">
              <w:rPr>
                <w:lang w:val="en-GB"/>
              </w:rPr>
              <w:t>This includes new ways of distance working, flexible working hours, cloud computing, e-commerce, auto</w:t>
            </w:r>
            <w:r>
              <w:rPr>
                <w:lang w:val="en-GB"/>
              </w:rPr>
              <w:softHyphen/>
            </w:r>
            <w:r w:rsidRPr="009B769D">
              <w:rPr>
                <w:lang w:val="en-GB"/>
              </w:rPr>
              <w:t xml:space="preserve">matization of production etc.). Despite its limited resources, the business in the North Central region in Bulgaria has succeeded to implement some of those new tools in </w:t>
            </w:r>
            <w:proofErr w:type="gramStart"/>
            <w:r w:rsidRPr="009B769D">
              <w:rPr>
                <w:lang w:val="en-GB"/>
              </w:rPr>
              <w:t>short-terms</w:t>
            </w:r>
            <w:proofErr w:type="gramEnd"/>
            <w:r w:rsidRPr="009B769D">
              <w:rPr>
                <w:lang w:val="en-GB"/>
              </w:rPr>
              <w:t>. This tendence needs to persist through the formation of clusters and working for more key investments and innovation in the digital area (</w:t>
            </w:r>
            <w:proofErr w:type="spellStart"/>
            <w:r w:rsidRPr="009B769D">
              <w:rPr>
                <w:lang w:val="en-GB"/>
              </w:rPr>
              <w:t>Petkov</w:t>
            </w:r>
            <w:proofErr w:type="spellEnd"/>
            <w:r w:rsidRPr="009B769D">
              <w:rPr>
                <w:lang w:val="en-GB"/>
              </w:rPr>
              <w:t xml:space="preserve">, 2015; Alan, Vivien and Sven, 2020; </w:t>
            </w:r>
            <w:proofErr w:type="spellStart"/>
            <w:r w:rsidRPr="009B769D">
              <w:rPr>
                <w:lang w:val="en-GB"/>
              </w:rPr>
              <w:t>Dua</w:t>
            </w:r>
            <w:proofErr w:type="spellEnd"/>
            <w:r w:rsidRPr="009B769D">
              <w:rPr>
                <w:lang w:val="en-GB"/>
              </w:rPr>
              <w:t xml:space="preserve"> et al., 2020). </w:t>
            </w:r>
          </w:p>
        </w:tc>
        <w:tc>
          <w:tcPr>
            <w:tcW w:w="4820" w:type="dxa"/>
          </w:tcPr>
          <w:p w14:paraId="0BA78EBF" w14:textId="578680DC" w:rsidR="00E92008" w:rsidRPr="009B769D" w:rsidRDefault="00E92008" w:rsidP="007F6587">
            <w:pPr>
              <w:pStyle w:val="a2"/>
              <w:rPr>
                <w:b/>
                <w:bCs/>
                <w:lang w:val="en-GB"/>
              </w:rPr>
            </w:pPr>
            <w:r w:rsidRPr="009B769D">
              <w:rPr>
                <w:b/>
                <w:bCs/>
                <w:lang w:val="en-GB"/>
              </w:rPr>
              <w:t>ИЗВОДИ</w:t>
            </w:r>
          </w:p>
          <w:p w14:paraId="361BFAC6" w14:textId="77777777" w:rsidR="00E92008" w:rsidRPr="009B769D" w:rsidRDefault="00E92008" w:rsidP="007F6587">
            <w:pPr>
              <w:pStyle w:val="a2"/>
              <w:rPr>
                <w:sz w:val="19"/>
                <w:szCs w:val="19"/>
                <w:lang w:val="bg-BG"/>
              </w:rPr>
            </w:pPr>
            <w:r w:rsidRPr="009B769D">
              <w:rPr>
                <w:sz w:val="19"/>
                <w:szCs w:val="19"/>
                <w:lang w:val="bg-BG"/>
              </w:rPr>
              <w:t>Северният централен район на България все пак има възможности да използва възникналата ситуация с CO</w:t>
            </w:r>
            <w:r>
              <w:rPr>
                <w:sz w:val="19"/>
                <w:szCs w:val="19"/>
                <w:lang w:val="bg-BG"/>
              </w:rPr>
              <w:t>VID-19 като перспектива в дълго</w:t>
            </w:r>
            <w:r w:rsidRPr="009B769D">
              <w:rPr>
                <w:sz w:val="19"/>
                <w:szCs w:val="19"/>
                <w:lang w:val="bg-BG"/>
              </w:rPr>
              <w:t>срочен план за развитие, издигайки  конк</w:t>
            </w:r>
            <w:r>
              <w:rPr>
                <w:sz w:val="19"/>
                <w:szCs w:val="19"/>
                <w:lang w:val="bg-BG"/>
              </w:rPr>
              <w:t>урентните си предимства на евро</w:t>
            </w:r>
            <w:r w:rsidRPr="009B769D">
              <w:rPr>
                <w:sz w:val="19"/>
                <w:szCs w:val="19"/>
                <w:lang w:val="bg-BG"/>
              </w:rPr>
              <w:t>пейско ниво чрез умна специализация (</w:t>
            </w:r>
            <w:proofErr w:type="spellStart"/>
            <w:r w:rsidRPr="009B769D">
              <w:rPr>
                <w:sz w:val="19"/>
                <w:szCs w:val="19"/>
                <w:lang w:val="bg-BG"/>
              </w:rPr>
              <w:t>Petkov</w:t>
            </w:r>
            <w:proofErr w:type="spellEnd"/>
            <w:r w:rsidRPr="009B769D">
              <w:rPr>
                <w:sz w:val="19"/>
                <w:szCs w:val="19"/>
                <w:lang w:val="bg-BG"/>
              </w:rPr>
              <w:t xml:space="preserve">, 2015; </w:t>
            </w:r>
            <w:proofErr w:type="spellStart"/>
            <w:r w:rsidRPr="009B769D">
              <w:rPr>
                <w:sz w:val="19"/>
                <w:szCs w:val="19"/>
                <w:lang w:val="bg-BG"/>
              </w:rPr>
              <w:t>Alan</w:t>
            </w:r>
            <w:proofErr w:type="spellEnd"/>
            <w:r w:rsidRPr="009B769D">
              <w:rPr>
                <w:sz w:val="19"/>
                <w:szCs w:val="19"/>
                <w:lang w:val="bg-BG"/>
              </w:rPr>
              <w:t xml:space="preserve">, </w:t>
            </w:r>
            <w:proofErr w:type="spellStart"/>
            <w:r w:rsidRPr="009B769D">
              <w:rPr>
                <w:sz w:val="19"/>
                <w:szCs w:val="19"/>
                <w:lang w:val="bg-BG"/>
              </w:rPr>
              <w:t>Vivien</w:t>
            </w:r>
            <w:proofErr w:type="spellEnd"/>
            <w:r w:rsidRPr="009B769D">
              <w:rPr>
                <w:sz w:val="19"/>
                <w:szCs w:val="19"/>
                <w:lang w:val="bg-BG"/>
              </w:rPr>
              <w:t xml:space="preserve"> </w:t>
            </w:r>
            <w:proofErr w:type="spellStart"/>
            <w:r w:rsidRPr="009B769D">
              <w:rPr>
                <w:sz w:val="19"/>
                <w:szCs w:val="19"/>
                <w:lang w:val="bg-BG"/>
              </w:rPr>
              <w:t>and</w:t>
            </w:r>
            <w:proofErr w:type="spellEnd"/>
            <w:r>
              <w:rPr>
                <w:sz w:val="19"/>
                <w:szCs w:val="19"/>
                <w:lang w:val="bg-BG"/>
              </w:rPr>
              <w:t xml:space="preserve"> </w:t>
            </w:r>
            <w:proofErr w:type="spellStart"/>
            <w:r>
              <w:rPr>
                <w:sz w:val="19"/>
                <w:szCs w:val="19"/>
                <w:lang w:val="bg-BG"/>
              </w:rPr>
              <w:t>Sven</w:t>
            </w:r>
            <w:proofErr w:type="spellEnd"/>
            <w:r>
              <w:rPr>
                <w:sz w:val="19"/>
                <w:szCs w:val="19"/>
                <w:lang w:val="bg-BG"/>
              </w:rPr>
              <w:t xml:space="preserve">, 2020; </w:t>
            </w:r>
            <w:proofErr w:type="spellStart"/>
            <w:r>
              <w:rPr>
                <w:sz w:val="19"/>
                <w:szCs w:val="19"/>
                <w:lang w:val="bg-BG"/>
              </w:rPr>
              <w:t>Dua</w:t>
            </w:r>
            <w:proofErr w:type="spellEnd"/>
            <w:r>
              <w:rPr>
                <w:sz w:val="19"/>
                <w:szCs w:val="19"/>
                <w:lang w:val="bg-BG"/>
              </w:rPr>
              <w:t xml:space="preserve"> </w:t>
            </w:r>
            <w:proofErr w:type="spellStart"/>
            <w:r>
              <w:rPr>
                <w:sz w:val="19"/>
                <w:szCs w:val="19"/>
                <w:lang w:val="bg-BG"/>
              </w:rPr>
              <w:t>et</w:t>
            </w:r>
            <w:proofErr w:type="spellEnd"/>
            <w:r>
              <w:rPr>
                <w:sz w:val="19"/>
                <w:szCs w:val="19"/>
                <w:lang w:val="bg-BG"/>
              </w:rPr>
              <w:t xml:space="preserve"> </w:t>
            </w:r>
            <w:proofErr w:type="spellStart"/>
            <w:r>
              <w:rPr>
                <w:sz w:val="19"/>
                <w:szCs w:val="19"/>
                <w:lang w:val="bg-BG"/>
              </w:rPr>
              <w:t>al</w:t>
            </w:r>
            <w:proofErr w:type="spellEnd"/>
            <w:r>
              <w:rPr>
                <w:sz w:val="19"/>
                <w:szCs w:val="19"/>
                <w:lang w:val="bg-BG"/>
              </w:rPr>
              <w:t>., 2020).</w:t>
            </w:r>
          </w:p>
          <w:p w14:paraId="74D7A3FA" w14:textId="28F9DF82" w:rsidR="00E92008" w:rsidRPr="00E92008" w:rsidRDefault="00E92008" w:rsidP="007F6587">
            <w:pPr>
              <w:pStyle w:val="a2"/>
              <w:rPr>
                <w:sz w:val="19"/>
                <w:szCs w:val="19"/>
                <w:lang w:val="bg-BG"/>
              </w:rPr>
            </w:pPr>
            <w:r w:rsidRPr="009B769D">
              <w:rPr>
                <w:sz w:val="19"/>
                <w:szCs w:val="19"/>
                <w:lang w:val="bg-BG"/>
              </w:rPr>
              <w:t>За да се случи това са необходими съгласувани и координирани усилия на европейско, национално и местно ниво, но и бърза реакция на бизнеса. На ниво компания, много организации в Европа успяват да създадат специални екипи, коит</w:t>
            </w:r>
            <w:r>
              <w:rPr>
                <w:sz w:val="19"/>
                <w:szCs w:val="19"/>
                <w:lang w:val="bg-BG"/>
              </w:rPr>
              <w:t>о да управляват риска и да изра</w:t>
            </w:r>
            <w:r w:rsidRPr="009B769D">
              <w:rPr>
                <w:sz w:val="19"/>
                <w:szCs w:val="19"/>
                <w:lang w:val="bg-BG"/>
              </w:rPr>
              <w:t xml:space="preserve">ботят подробни планове за справяне с бъдещи негативни влияния на околната среда, вкл. инфекциозни пандемии. Това обаче не винаги е достатъчно - както е казал Дарвин, оцеляват по-адаптивните, т.е. не следвайки предварително предна-чертан план, а работейки за една по-гъвкава, ефективна компания, готова във всеки момент да изпревари последиците от случващите се събития и </w:t>
            </w:r>
            <w:r>
              <w:rPr>
                <w:sz w:val="19"/>
                <w:szCs w:val="19"/>
                <w:lang w:val="bg-BG"/>
              </w:rPr>
              <w:t>да грабне всяка нова възможност</w:t>
            </w:r>
            <w:r w:rsidRPr="009B769D">
              <w:rPr>
                <w:sz w:val="19"/>
                <w:szCs w:val="19"/>
                <w:lang w:val="bg-BG"/>
              </w:rPr>
              <w:t xml:space="preserve">. Следователно </w:t>
            </w:r>
            <w:r>
              <w:rPr>
                <w:sz w:val="19"/>
                <w:szCs w:val="19"/>
                <w:lang w:val="bg-BG"/>
              </w:rPr>
              <w:t>–</w:t>
            </w:r>
            <w:r w:rsidRPr="009B769D">
              <w:rPr>
                <w:sz w:val="19"/>
                <w:szCs w:val="19"/>
                <w:lang w:val="bg-BG"/>
              </w:rPr>
              <w:t xml:space="preserve"> плани</w:t>
            </w:r>
            <w:r>
              <w:rPr>
                <w:sz w:val="19"/>
                <w:szCs w:val="19"/>
                <w:lang w:val="bg-BG"/>
              </w:rPr>
              <w:softHyphen/>
            </w:r>
            <w:r w:rsidRPr="009B769D">
              <w:rPr>
                <w:sz w:val="19"/>
                <w:szCs w:val="19"/>
                <w:lang w:val="bg-BG"/>
              </w:rPr>
              <w:t>ране, бързина на адаптиране и поглед към предстоящото, са ключа към успешен бизнес в “новото нормално”.</w:t>
            </w:r>
          </w:p>
        </w:tc>
      </w:tr>
    </w:tbl>
    <w:p w14:paraId="78A62FBF" w14:textId="77777777" w:rsidR="000161BA" w:rsidRDefault="000161BA" w:rsidP="005777F3">
      <w:pPr>
        <w:pStyle w:val="a2"/>
        <w:spacing w:after="120"/>
        <w:jc w:val="center"/>
        <w:rPr>
          <w:lang w:val="en-GB"/>
        </w:rPr>
      </w:pPr>
    </w:p>
    <w:p w14:paraId="11D24CB9" w14:textId="1981309F" w:rsidR="006409B5" w:rsidRPr="00B37DB1" w:rsidRDefault="006409B5" w:rsidP="006409B5">
      <w:pPr>
        <w:spacing w:after="120"/>
        <w:rPr>
          <w:rFonts w:ascii="Verdana" w:hAnsi="Verdana"/>
          <w:b/>
          <w:szCs w:val="17"/>
        </w:rPr>
      </w:pPr>
      <w:r w:rsidRPr="00B37DB1">
        <w:rPr>
          <w:rFonts w:ascii="Verdana" w:hAnsi="Verdana"/>
          <w:b/>
          <w:szCs w:val="17"/>
          <w:lang w:val="en-US"/>
        </w:rPr>
        <w:t>Reference</w:t>
      </w:r>
      <w:r>
        <w:rPr>
          <w:rFonts w:ascii="Verdana" w:hAnsi="Verdana"/>
          <w:b/>
          <w:szCs w:val="17"/>
        </w:rPr>
        <w:t xml:space="preserve"> / Източници</w:t>
      </w:r>
    </w:p>
    <w:p w14:paraId="4BD60E27" w14:textId="77777777" w:rsidR="006409B5" w:rsidRPr="00886FB0" w:rsidRDefault="006409B5" w:rsidP="00983972">
      <w:pPr>
        <w:spacing w:after="80"/>
        <w:ind w:left="567" w:hanging="567"/>
        <w:rPr>
          <w:rFonts w:ascii="Verdana" w:hAnsi="Verdana"/>
          <w:szCs w:val="20"/>
        </w:rPr>
      </w:pPr>
      <w:r w:rsidRPr="00886FB0">
        <w:rPr>
          <w:rFonts w:ascii="Verdana" w:hAnsi="Verdana"/>
          <w:b/>
          <w:szCs w:val="20"/>
          <w:lang w:val="en-US"/>
        </w:rPr>
        <w:t xml:space="preserve">Armstrong, K. </w:t>
      </w:r>
      <w:r w:rsidRPr="00886FB0">
        <w:rPr>
          <w:rFonts w:ascii="Verdana" w:hAnsi="Verdana"/>
          <w:b/>
          <w:szCs w:val="20"/>
        </w:rPr>
        <w:t>(</w:t>
      </w:r>
      <w:r w:rsidRPr="00886FB0">
        <w:rPr>
          <w:rFonts w:ascii="Verdana" w:hAnsi="Verdana"/>
          <w:b/>
          <w:szCs w:val="20"/>
          <w:lang w:val="en-US"/>
        </w:rPr>
        <w:t>2017</w:t>
      </w:r>
      <w:r w:rsidRPr="00886FB0">
        <w:rPr>
          <w:rFonts w:ascii="Verdana" w:hAnsi="Verdana"/>
          <w:b/>
          <w:szCs w:val="20"/>
        </w:rPr>
        <w:t>).</w:t>
      </w:r>
      <w:r w:rsidRPr="00886FB0">
        <w:rPr>
          <w:rFonts w:ascii="Verdana" w:hAnsi="Verdana"/>
          <w:szCs w:val="20"/>
        </w:rPr>
        <w:t xml:space="preserve"> </w:t>
      </w:r>
      <w:r w:rsidRPr="00886FB0">
        <w:rPr>
          <w:rFonts w:ascii="Verdana" w:hAnsi="Verdana"/>
          <w:szCs w:val="20"/>
          <w:lang w:val="en-US"/>
        </w:rPr>
        <w:t>Omni-Channel Banking: How Banks Can Deliver Unmatched Customer Service</w:t>
      </w:r>
      <w:r w:rsidRPr="00886FB0">
        <w:rPr>
          <w:rFonts w:ascii="Verdana" w:hAnsi="Verdana"/>
          <w:szCs w:val="20"/>
        </w:rPr>
        <w:t>.</w:t>
      </w:r>
      <w:r w:rsidRPr="00886FB0">
        <w:rPr>
          <w:rFonts w:ascii="Verdana" w:hAnsi="Verdana"/>
          <w:szCs w:val="20"/>
          <w:lang w:val="en-US"/>
        </w:rPr>
        <w:t xml:space="preserve"> Abe AI</w:t>
      </w:r>
      <w:r w:rsidRPr="00886FB0">
        <w:rPr>
          <w:rFonts w:ascii="Verdana" w:hAnsi="Verdana"/>
          <w:szCs w:val="20"/>
        </w:rPr>
        <w:t>. [</w:t>
      </w:r>
      <w:proofErr w:type="spellStart"/>
      <w:r w:rsidRPr="00886FB0">
        <w:rPr>
          <w:rFonts w:ascii="Verdana" w:hAnsi="Verdana"/>
          <w:szCs w:val="20"/>
        </w:rPr>
        <w:t>online</w:t>
      </w:r>
      <w:proofErr w:type="spellEnd"/>
      <w:r w:rsidRPr="00886FB0">
        <w:rPr>
          <w:rFonts w:ascii="Verdana" w:hAnsi="Verdana"/>
          <w:szCs w:val="20"/>
        </w:rPr>
        <w:t xml:space="preserve">] </w:t>
      </w:r>
      <w:proofErr w:type="spellStart"/>
      <w:r w:rsidRPr="00886FB0">
        <w:rPr>
          <w:rFonts w:ascii="Verdana" w:hAnsi="Verdana"/>
          <w:szCs w:val="20"/>
        </w:rPr>
        <w:t>Available</w:t>
      </w:r>
      <w:proofErr w:type="spellEnd"/>
      <w:r w:rsidRPr="00886FB0">
        <w:rPr>
          <w:rFonts w:ascii="Verdana" w:hAnsi="Verdana"/>
          <w:szCs w:val="20"/>
        </w:rPr>
        <w:t xml:space="preserve"> </w:t>
      </w:r>
      <w:proofErr w:type="spellStart"/>
      <w:r w:rsidRPr="00886FB0">
        <w:rPr>
          <w:rFonts w:ascii="Verdana" w:hAnsi="Verdana"/>
          <w:szCs w:val="20"/>
        </w:rPr>
        <w:t>at</w:t>
      </w:r>
      <w:proofErr w:type="spellEnd"/>
      <w:r w:rsidRPr="00886FB0">
        <w:rPr>
          <w:rFonts w:ascii="Verdana" w:hAnsi="Verdana"/>
          <w:szCs w:val="20"/>
        </w:rPr>
        <w:t xml:space="preserve">: </w:t>
      </w:r>
      <w:r w:rsidRPr="00886FB0">
        <w:rPr>
          <w:rFonts w:ascii="Verdana" w:hAnsi="Verdana"/>
          <w:szCs w:val="20"/>
          <w:lang w:val="en-US"/>
        </w:rPr>
        <w:t xml:space="preserve"> https://www.abe.ai/blog/omni-channel-banking-how-banks-can-deliver-unmatched-customer-service/</w:t>
      </w:r>
      <w:r w:rsidRPr="00886FB0">
        <w:rPr>
          <w:rFonts w:ascii="Verdana" w:hAnsi="Verdana"/>
          <w:szCs w:val="20"/>
        </w:rPr>
        <w:t>.</w:t>
      </w:r>
    </w:p>
    <w:p w14:paraId="6DE9C9CE" w14:textId="657F1157" w:rsidR="006409B5" w:rsidRPr="00886FB0" w:rsidRDefault="006409B5" w:rsidP="00983972">
      <w:pPr>
        <w:spacing w:after="80"/>
        <w:ind w:left="567" w:hanging="567"/>
        <w:rPr>
          <w:rFonts w:ascii="Verdana" w:hAnsi="Verdana"/>
          <w:szCs w:val="20"/>
          <w:lang w:val="en-US"/>
        </w:rPr>
      </w:pPr>
      <w:r w:rsidRPr="00886FB0">
        <w:rPr>
          <w:rFonts w:ascii="Verdana" w:hAnsi="Verdana"/>
          <w:b/>
          <w:szCs w:val="20"/>
          <w:lang w:val="en-US"/>
        </w:rPr>
        <w:t>Astute Solutions. (2019).</w:t>
      </w:r>
      <w:r w:rsidRPr="00886FB0">
        <w:rPr>
          <w:rFonts w:ascii="Verdana" w:hAnsi="Verdana"/>
          <w:szCs w:val="20"/>
          <w:lang w:val="en-US"/>
        </w:rPr>
        <w:t xml:space="preserve"> Beyond the Buzz</w:t>
      </w:r>
      <w:r w:rsidR="000804D5">
        <w:rPr>
          <w:rFonts w:ascii="Verdana" w:hAnsi="Verdana"/>
          <w:szCs w:val="20"/>
          <w:lang w:val="en-US"/>
        </w:rPr>
        <w:t>word: Opti-Channel Engagement.</w:t>
      </w:r>
      <w:r w:rsidRPr="00886FB0">
        <w:rPr>
          <w:rFonts w:ascii="Verdana" w:hAnsi="Verdana"/>
          <w:szCs w:val="20"/>
          <w:lang w:val="en-US"/>
        </w:rPr>
        <w:t xml:space="preserve"> Available at: https://www.astutesolutions.com/blog/articles/beyond-the-buzzword-opti-cha</w:t>
      </w:r>
      <w:r w:rsidR="000804D5">
        <w:rPr>
          <w:rFonts w:ascii="Verdana" w:hAnsi="Verdana"/>
          <w:szCs w:val="20"/>
          <w:lang w:val="en-US"/>
        </w:rPr>
        <w:softHyphen/>
      </w:r>
      <w:r w:rsidRPr="00886FB0">
        <w:rPr>
          <w:rFonts w:ascii="Verdana" w:hAnsi="Verdana"/>
          <w:szCs w:val="20"/>
          <w:lang w:val="en-US"/>
        </w:rPr>
        <w:t>nnel-engagement.</w:t>
      </w:r>
    </w:p>
    <w:p w14:paraId="3CEFC34C" w14:textId="7DA94307" w:rsidR="006409B5" w:rsidRPr="00886FB0" w:rsidRDefault="006409B5" w:rsidP="00983972">
      <w:pPr>
        <w:spacing w:after="80"/>
        <w:ind w:left="567" w:hanging="567"/>
        <w:rPr>
          <w:rFonts w:ascii="Verdana" w:hAnsi="Verdana"/>
          <w:szCs w:val="20"/>
          <w:lang w:val="en-US"/>
        </w:rPr>
      </w:pPr>
      <w:proofErr w:type="spellStart"/>
      <w:r w:rsidRPr="00886FB0">
        <w:rPr>
          <w:rFonts w:ascii="Verdana" w:hAnsi="Verdana"/>
          <w:b/>
          <w:szCs w:val="20"/>
          <w:lang w:val="en-US"/>
        </w:rPr>
        <w:t>Backbase</w:t>
      </w:r>
      <w:proofErr w:type="spellEnd"/>
      <w:r w:rsidRPr="00886FB0">
        <w:rPr>
          <w:rFonts w:ascii="Verdana" w:hAnsi="Verdana"/>
          <w:b/>
          <w:szCs w:val="20"/>
          <w:lang w:val="en-US"/>
        </w:rPr>
        <w:t>. (2018).</w:t>
      </w:r>
      <w:r w:rsidRPr="00886FB0">
        <w:rPr>
          <w:rFonts w:ascii="Verdana" w:hAnsi="Verdana"/>
          <w:szCs w:val="20"/>
          <w:lang w:val="en-US"/>
        </w:rPr>
        <w:t xml:space="preserve"> Banking 2025 Four pillars of </w:t>
      </w:r>
      <w:r w:rsidR="000804D5">
        <w:rPr>
          <w:rFonts w:ascii="Verdana" w:hAnsi="Verdana"/>
          <w:szCs w:val="20"/>
          <w:lang w:val="en-US"/>
        </w:rPr>
        <w:t>the digital-first bank.</w:t>
      </w:r>
      <w:r w:rsidRPr="00886FB0">
        <w:rPr>
          <w:rFonts w:ascii="Verdana" w:hAnsi="Verdana"/>
          <w:szCs w:val="20"/>
          <w:lang w:val="en-US"/>
        </w:rPr>
        <w:t xml:space="preserve"> Available at: https://www.backbase.com/resources/banking-2025-whitepaper/.</w:t>
      </w:r>
    </w:p>
    <w:p w14:paraId="5523FDF8" w14:textId="11EEB743" w:rsidR="006409B5" w:rsidRPr="00886FB0" w:rsidRDefault="006409B5" w:rsidP="00983972">
      <w:pPr>
        <w:spacing w:after="80"/>
        <w:ind w:left="567" w:hanging="567"/>
        <w:rPr>
          <w:rFonts w:ascii="Verdana" w:hAnsi="Verdana"/>
          <w:szCs w:val="20"/>
          <w:lang w:val="en-US"/>
        </w:rPr>
      </w:pPr>
      <w:r w:rsidRPr="00886FB0">
        <w:rPr>
          <w:rFonts w:ascii="Verdana" w:hAnsi="Verdana"/>
          <w:b/>
          <w:szCs w:val="20"/>
          <w:lang w:val="en-US"/>
        </w:rPr>
        <w:t>Bobs Guide. (2017).</w:t>
      </w:r>
      <w:r w:rsidRPr="00886FB0">
        <w:rPr>
          <w:rFonts w:ascii="Verdana" w:hAnsi="Verdana"/>
          <w:szCs w:val="20"/>
          <w:lang w:val="en-US"/>
        </w:rPr>
        <w:t xml:space="preserve"> 2017 Le</w:t>
      </w:r>
      <w:r w:rsidR="000804D5">
        <w:rPr>
          <w:rFonts w:ascii="Verdana" w:hAnsi="Verdana"/>
          <w:szCs w:val="20"/>
          <w:lang w:val="en-US"/>
        </w:rPr>
        <w:t>nding Trends for Banks.</w:t>
      </w:r>
      <w:r w:rsidRPr="00886FB0">
        <w:rPr>
          <w:rFonts w:ascii="Verdana" w:hAnsi="Verdana"/>
          <w:szCs w:val="20"/>
          <w:lang w:val="en-US"/>
        </w:rPr>
        <w:t xml:space="preserve"> Available at: http://www.</w:t>
      </w:r>
      <w:r w:rsidR="000804D5">
        <w:rPr>
          <w:rFonts w:ascii="Verdana" w:hAnsi="Verdana"/>
          <w:szCs w:val="20"/>
          <w:lang w:val="en-US"/>
        </w:rPr>
        <w:softHyphen/>
      </w:r>
      <w:r w:rsidRPr="00886FB0">
        <w:rPr>
          <w:rFonts w:ascii="Verdana" w:hAnsi="Verdana"/>
          <w:szCs w:val="20"/>
          <w:lang w:val="en-US"/>
        </w:rPr>
        <w:t>bobsguide.com/guide/news/2016/Jan/12/2017-lending-trends-for-banks/.</w:t>
      </w:r>
    </w:p>
    <w:p w14:paraId="60D2F83F" w14:textId="2FE55A7E" w:rsidR="006409B5" w:rsidRPr="00886FB0" w:rsidRDefault="006409B5" w:rsidP="00983972">
      <w:pPr>
        <w:spacing w:after="80"/>
        <w:ind w:left="567" w:hanging="567"/>
        <w:rPr>
          <w:rFonts w:ascii="Verdana" w:hAnsi="Verdana"/>
          <w:szCs w:val="20"/>
          <w:lang w:val="en-US"/>
        </w:rPr>
      </w:pPr>
      <w:proofErr w:type="spellStart"/>
      <w:r w:rsidRPr="00886FB0">
        <w:rPr>
          <w:rFonts w:ascii="Verdana" w:hAnsi="Verdana"/>
          <w:b/>
          <w:szCs w:val="20"/>
          <w:lang w:val="en-US"/>
        </w:rPr>
        <w:t>Didur</w:t>
      </w:r>
      <w:proofErr w:type="spellEnd"/>
      <w:r w:rsidRPr="00886FB0">
        <w:rPr>
          <w:rFonts w:ascii="Verdana" w:hAnsi="Verdana"/>
          <w:b/>
          <w:szCs w:val="20"/>
          <w:lang w:val="en-US"/>
        </w:rPr>
        <w:t xml:space="preserve">, К. (2018). </w:t>
      </w:r>
      <w:r w:rsidRPr="00886FB0">
        <w:rPr>
          <w:rFonts w:ascii="Verdana" w:hAnsi="Verdana"/>
          <w:szCs w:val="20"/>
          <w:lang w:val="en-US"/>
        </w:rPr>
        <w:t xml:space="preserve"> Omnichannel banking: meaning, examples, benefits,</w:t>
      </w:r>
      <w:r w:rsidR="000804D5">
        <w:rPr>
          <w:rFonts w:ascii="Verdana" w:hAnsi="Verdana"/>
          <w:szCs w:val="20"/>
          <w:lang w:val="en-US"/>
        </w:rPr>
        <w:t xml:space="preserve"> and challenges. N-</w:t>
      </w:r>
      <w:proofErr w:type="spellStart"/>
      <w:r w:rsidR="000804D5">
        <w:rPr>
          <w:rFonts w:ascii="Verdana" w:hAnsi="Verdana"/>
          <w:szCs w:val="20"/>
          <w:lang w:val="en-US"/>
        </w:rPr>
        <w:t>iX</w:t>
      </w:r>
      <w:proofErr w:type="spellEnd"/>
      <w:r w:rsidR="000804D5">
        <w:rPr>
          <w:rFonts w:ascii="Verdana" w:hAnsi="Verdana"/>
          <w:szCs w:val="20"/>
          <w:lang w:val="en-US"/>
        </w:rPr>
        <w:t>.</w:t>
      </w:r>
      <w:r w:rsidRPr="00886FB0">
        <w:rPr>
          <w:rFonts w:ascii="Verdana" w:hAnsi="Verdana"/>
          <w:szCs w:val="20"/>
          <w:lang w:val="en-US"/>
        </w:rPr>
        <w:t xml:space="preserve"> Available at:  https://www.n-ix.com/omnichannel-banking-meaning-examples-benefits-challenges/.</w:t>
      </w:r>
    </w:p>
    <w:p w14:paraId="188A6AF8" w14:textId="028F4E27" w:rsidR="006409B5" w:rsidRPr="00886FB0" w:rsidRDefault="006409B5" w:rsidP="00983972">
      <w:pPr>
        <w:spacing w:after="80"/>
        <w:ind w:left="567" w:hanging="567"/>
        <w:rPr>
          <w:rFonts w:ascii="Verdana" w:hAnsi="Verdana"/>
          <w:szCs w:val="20"/>
          <w:lang w:val="en-US"/>
        </w:rPr>
      </w:pPr>
      <w:r w:rsidRPr="00886FB0">
        <w:rPr>
          <w:rFonts w:ascii="Verdana" w:hAnsi="Verdana"/>
          <w:b/>
          <w:szCs w:val="20"/>
          <w:lang w:val="en-US"/>
        </w:rPr>
        <w:t>Disha Experts. (2017).</w:t>
      </w:r>
      <w:r w:rsidRPr="00886FB0">
        <w:rPr>
          <w:rFonts w:ascii="Verdana" w:hAnsi="Verdana"/>
          <w:szCs w:val="20"/>
          <w:lang w:val="en-US"/>
        </w:rPr>
        <w:t xml:space="preserve"> Banking Awareness for SBI &amp; IBPS Bank Clerk/ PO/ RRB/ RBI exams 2nd Editio</w:t>
      </w:r>
      <w:r w:rsidR="000804D5">
        <w:rPr>
          <w:rFonts w:ascii="Verdana" w:hAnsi="Verdana"/>
          <w:szCs w:val="20"/>
          <w:lang w:val="en-US"/>
        </w:rPr>
        <w:t xml:space="preserve">n. Disha Publications. </w:t>
      </w:r>
      <w:r w:rsidRPr="00886FB0">
        <w:rPr>
          <w:rFonts w:ascii="Verdana" w:hAnsi="Verdana"/>
          <w:szCs w:val="20"/>
          <w:lang w:val="en-US"/>
        </w:rPr>
        <w:t>Available at: https://books.google.bg/</w:t>
      </w:r>
      <w:r w:rsidR="000804D5">
        <w:rPr>
          <w:rFonts w:ascii="Verdana" w:hAnsi="Verdana"/>
          <w:szCs w:val="20"/>
          <w:lang w:val="en-US"/>
        </w:rPr>
        <w:softHyphen/>
      </w:r>
      <w:r w:rsidRPr="00886FB0">
        <w:rPr>
          <w:rFonts w:ascii="Verdana" w:hAnsi="Verdana"/>
          <w:szCs w:val="20"/>
          <w:lang w:val="en-US"/>
        </w:rPr>
        <w:t>books?id=71krDwAAQBAJ&amp;printsec=frontcover&amp;hl=bg&amp;source=gbs_ge_summary_r&amp;cad=0#v=onepage&amp;q&amp;f=false.</w:t>
      </w:r>
    </w:p>
    <w:p w14:paraId="11367D05" w14:textId="443EE55E" w:rsidR="006409B5" w:rsidRPr="000804D5" w:rsidRDefault="006409B5" w:rsidP="00983972">
      <w:pPr>
        <w:spacing w:after="80"/>
        <w:ind w:left="567" w:hanging="567"/>
        <w:rPr>
          <w:rFonts w:ascii="Verdana" w:hAnsi="Verdana"/>
          <w:szCs w:val="20"/>
          <w:lang w:val="en-US"/>
        </w:rPr>
      </w:pPr>
      <w:proofErr w:type="spellStart"/>
      <w:r w:rsidRPr="00886FB0">
        <w:rPr>
          <w:rFonts w:ascii="Verdana" w:hAnsi="Verdana"/>
          <w:b/>
          <w:szCs w:val="20"/>
          <w:lang w:val="en-US"/>
        </w:rPr>
        <w:t>Donnary</w:t>
      </w:r>
      <w:proofErr w:type="spellEnd"/>
      <w:r w:rsidRPr="00886FB0">
        <w:rPr>
          <w:rFonts w:ascii="Verdana" w:hAnsi="Verdana"/>
          <w:b/>
          <w:szCs w:val="20"/>
          <w:lang w:val="en-US"/>
        </w:rPr>
        <w:t>, M., et al. (2018).</w:t>
      </w:r>
      <w:r w:rsidRPr="00886FB0">
        <w:rPr>
          <w:rFonts w:ascii="Verdana" w:hAnsi="Verdana"/>
          <w:szCs w:val="20"/>
          <w:lang w:val="en-US"/>
        </w:rPr>
        <w:t xml:space="preserve"> Business Technology Index 2018/2019. Capgemini &amp; ELFA.</w:t>
      </w:r>
      <w:r w:rsidR="000804D5">
        <w:rPr>
          <w:rFonts w:ascii="Verdana" w:hAnsi="Verdana"/>
          <w:szCs w:val="20"/>
          <w:lang w:val="en-US"/>
        </w:rPr>
        <w:t xml:space="preserve"> Available at: </w:t>
      </w:r>
      <w:r w:rsidRPr="00886FB0">
        <w:rPr>
          <w:rFonts w:ascii="Verdana" w:hAnsi="Verdana"/>
          <w:szCs w:val="20"/>
          <w:lang w:val="en-US"/>
        </w:rPr>
        <w:t>https://www.capgemini.com/wp-content/uploads/2018/10/BTPI_2018</w:t>
      </w:r>
      <w:r w:rsidR="000804D5">
        <w:rPr>
          <w:rFonts w:ascii="Verdana" w:hAnsi="Verdana"/>
          <w:szCs w:val="20"/>
          <w:lang w:val="en-US"/>
        </w:rPr>
        <w:softHyphen/>
      </w:r>
      <w:r w:rsidRPr="00886FB0">
        <w:rPr>
          <w:rFonts w:ascii="Verdana" w:hAnsi="Verdana"/>
          <w:szCs w:val="20"/>
          <w:lang w:val="en-US"/>
        </w:rPr>
        <w:t xml:space="preserve">_final.pdf. </w:t>
      </w:r>
    </w:p>
    <w:p w14:paraId="411714CD" w14:textId="387D9160" w:rsidR="005777F3" w:rsidRPr="00886FB0" w:rsidRDefault="005777F3" w:rsidP="00983972">
      <w:pPr>
        <w:spacing w:after="80"/>
        <w:ind w:left="567" w:hanging="567"/>
        <w:jc w:val="left"/>
        <w:rPr>
          <w:szCs w:val="20"/>
          <w:lang w:val="en-GB"/>
        </w:rPr>
      </w:pPr>
    </w:p>
    <w:sectPr w:rsidR="005777F3" w:rsidRPr="00886FB0" w:rsidSect="00AB5734">
      <w:headerReference w:type="default" r:id="rId16"/>
      <w:footnotePr>
        <w:numRestart w:val="eachPage"/>
      </w:footnotePr>
      <w:type w:val="continuous"/>
      <w:pgSz w:w="11906" w:h="16838" w:code="9"/>
      <w:pgMar w:top="1418" w:right="1418" w:bottom="1134" w:left="1418" w:header="709"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049E" w14:textId="77777777" w:rsidR="00FB3DC2" w:rsidRDefault="00FB3DC2">
      <w:r>
        <w:separator/>
      </w:r>
    </w:p>
  </w:endnote>
  <w:endnote w:type="continuationSeparator" w:id="0">
    <w:p w14:paraId="1C65B3C8" w14:textId="77777777" w:rsidR="00FB3DC2" w:rsidRDefault="00FB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88D5C" w14:textId="785F9833" w:rsidR="002B0F65" w:rsidRDefault="002B0F65" w:rsidP="00305F64">
    <w:pPr>
      <w:pStyle w:val="Footer"/>
      <w:pBdr>
        <w:top w:val="single" w:sz="8" w:space="4" w:color="000000"/>
      </w:pBdr>
    </w:pPr>
    <w:r>
      <w:fldChar w:fldCharType="begin"/>
    </w:r>
    <w:r>
      <w:instrText xml:space="preserve"> PAGE   \* MERGEFORMAT </w:instrText>
    </w:r>
    <w:r>
      <w:fldChar w:fldCharType="separate"/>
    </w:r>
    <w:r w:rsidR="00DD2AAD">
      <w:rPr>
        <w:noProof/>
      </w:rPr>
      <w:t>100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C2B4" w14:textId="1819D982" w:rsidR="004A2827" w:rsidRDefault="004A2827" w:rsidP="00305F64">
    <w:pPr>
      <w:pStyle w:val="Footer"/>
      <w:pBdr>
        <w:top w:val="single" w:sz="4" w:space="4" w:color="auto"/>
      </w:pBdr>
      <w:jc w:val="right"/>
    </w:pPr>
    <w:r>
      <w:fldChar w:fldCharType="begin"/>
    </w:r>
    <w:r>
      <w:instrText xml:space="preserve"> PAGE   \* MERGEFORMAT </w:instrText>
    </w:r>
    <w:r>
      <w:fldChar w:fldCharType="separate"/>
    </w:r>
    <w:r w:rsidR="00DD2AAD">
      <w:rPr>
        <w:noProof/>
      </w:rPr>
      <w:t>99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14D1" w14:textId="77777777" w:rsidR="00FB3DC2" w:rsidRDefault="00FB3DC2">
      <w:r>
        <w:separator/>
      </w:r>
    </w:p>
  </w:footnote>
  <w:footnote w:type="continuationSeparator" w:id="0">
    <w:p w14:paraId="1BE4D0BD" w14:textId="77777777" w:rsidR="00FB3DC2" w:rsidRDefault="00FB3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E8DC0" w14:textId="6354094B" w:rsidR="00805281" w:rsidRPr="009F38BD" w:rsidRDefault="00037251" w:rsidP="001B5611">
    <w:pPr>
      <w:pStyle w:val="a3"/>
      <w:pBdr>
        <w:bottom w:val="single" w:sz="6" w:space="4" w:color="auto"/>
      </w:pBdr>
      <w:spacing w:after="60"/>
      <w:rPr>
        <w:sz w:val="20"/>
        <w:szCs w:val="20"/>
        <w:lang w:val="en-GB"/>
      </w:rPr>
    </w:pPr>
    <w:r w:rsidRPr="009F38BD">
      <w:rPr>
        <w:sz w:val="20"/>
        <w:szCs w:val="20"/>
        <w:lang w:val="en-GB"/>
      </w:rPr>
      <w:t xml:space="preserve">Nadezhda Pavlova </w:t>
    </w:r>
    <w:proofErr w:type="spellStart"/>
    <w:r w:rsidRPr="009F38BD">
      <w:rPr>
        <w:sz w:val="20"/>
        <w:szCs w:val="20"/>
        <w:lang w:val="en-GB"/>
      </w:rPr>
      <w:t>Nikolova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7A82" w14:textId="417DF596" w:rsidR="00805281" w:rsidRPr="00B22B84" w:rsidRDefault="00613258" w:rsidP="001B5611">
    <w:pPr>
      <w:pStyle w:val="a3"/>
      <w:pBdr>
        <w:bottom w:val="single" w:sz="6" w:space="4" w:color="auto"/>
      </w:pBdr>
      <w:spacing w:after="60"/>
      <w:rPr>
        <w:sz w:val="20"/>
        <w:szCs w:val="20"/>
        <w:lang w:val="en-GB"/>
      </w:rPr>
    </w:pPr>
    <w:r w:rsidRPr="00613258">
      <w:rPr>
        <w:sz w:val="20"/>
        <w:szCs w:val="20"/>
        <w:lang w:val="en-GB"/>
      </w:rPr>
      <w:t xml:space="preserve">Modern Approaches </w:t>
    </w:r>
    <w:r>
      <w:rPr>
        <w:sz w:val="20"/>
        <w:szCs w:val="20"/>
        <w:lang w:val="en-GB"/>
      </w:rPr>
      <w:t>f</w:t>
    </w:r>
    <w:r w:rsidRPr="00613258">
      <w:rPr>
        <w:sz w:val="20"/>
        <w:szCs w:val="20"/>
        <w:lang w:val="en-GB"/>
      </w:rPr>
      <w:t>or Bank Distribution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3352" w14:textId="78B74383" w:rsidR="00805281" w:rsidRPr="00B22B84" w:rsidRDefault="00613258" w:rsidP="00613258">
    <w:pPr>
      <w:pStyle w:val="a3"/>
      <w:pBdr>
        <w:bottom w:val="single" w:sz="6" w:space="4" w:color="auto"/>
      </w:pBdr>
      <w:spacing w:after="60"/>
      <w:rPr>
        <w:sz w:val="20"/>
        <w:szCs w:val="20"/>
        <w:lang w:val="en-GB"/>
      </w:rPr>
    </w:pPr>
    <w:r w:rsidRPr="00613258">
      <w:rPr>
        <w:sz w:val="20"/>
        <w:szCs w:val="20"/>
        <w:lang w:val="en-GB"/>
      </w:rPr>
      <w:t xml:space="preserve">Modern Approaches </w:t>
    </w:r>
    <w:r>
      <w:rPr>
        <w:sz w:val="20"/>
        <w:szCs w:val="20"/>
        <w:lang w:val="en-GB"/>
      </w:rPr>
      <w:t>f</w:t>
    </w:r>
    <w:r w:rsidRPr="00613258">
      <w:rPr>
        <w:sz w:val="20"/>
        <w:szCs w:val="20"/>
        <w:lang w:val="en-GB"/>
      </w:rPr>
      <w:t>or Bank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B27"/>
    <w:multiLevelType w:val="hybridMultilevel"/>
    <w:tmpl w:val="D4DEFCEC"/>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A0CE4"/>
    <w:multiLevelType w:val="hybridMultilevel"/>
    <w:tmpl w:val="C1F8E53C"/>
    <w:lvl w:ilvl="0" w:tplc="5DCE2018">
      <w:start w:val="1"/>
      <w:numFmt w:val="bullet"/>
      <w:lvlText w:val=""/>
      <w:lvlJc w:val="left"/>
      <w:pPr>
        <w:ind w:left="2058" w:hanging="360"/>
      </w:pPr>
      <w:rPr>
        <w:rFonts w:ascii="Symbol" w:hAnsi="Symbol" w:hint="default"/>
      </w:rPr>
    </w:lvl>
    <w:lvl w:ilvl="1" w:tplc="04090003" w:tentative="1">
      <w:start w:val="1"/>
      <w:numFmt w:val="bullet"/>
      <w:lvlText w:val="o"/>
      <w:lvlJc w:val="left"/>
      <w:pPr>
        <w:ind w:left="2778" w:hanging="360"/>
      </w:pPr>
      <w:rPr>
        <w:rFonts w:ascii="Courier New" w:hAnsi="Courier New" w:cs="Courier New" w:hint="default"/>
      </w:rPr>
    </w:lvl>
    <w:lvl w:ilvl="2" w:tplc="04090005" w:tentative="1">
      <w:start w:val="1"/>
      <w:numFmt w:val="bullet"/>
      <w:lvlText w:val=""/>
      <w:lvlJc w:val="left"/>
      <w:pPr>
        <w:ind w:left="3498" w:hanging="360"/>
      </w:pPr>
      <w:rPr>
        <w:rFonts w:ascii="Wingdings" w:hAnsi="Wingdings" w:hint="default"/>
      </w:rPr>
    </w:lvl>
    <w:lvl w:ilvl="3" w:tplc="04090001" w:tentative="1">
      <w:start w:val="1"/>
      <w:numFmt w:val="bullet"/>
      <w:lvlText w:val=""/>
      <w:lvlJc w:val="left"/>
      <w:pPr>
        <w:ind w:left="4218" w:hanging="360"/>
      </w:pPr>
      <w:rPr>
        <w:rFonts w:ascii="Symbol" w:hAnsi="Symbol" w:hint="default"/>
      </w:rPr>
    </w:lvl>
    <w:lvl w:ilvl="4" w:tplc="04090003" w:tentative="1">
      <w:start w:val="1"/>
      <w:numFmt w:val="bullet"/>
      <w:lvlText w:val="o"/>
      <w:lvlJc w:val="left"/>
      <w:pPr>
        <w:ind w:left="4938" w:hanging="360"/>
      </w:pPr>
      <w:rPr>
        <w:rFonts w:ascii="Courier New" w:hAnsi="Courier New" w:cs="Courier New" w:hint="default"/>
      </w:rPr>
    </w:lvl>
    <w:lvl w:ilvl="5" w:tplc="04090005" w:tentative="1">
      <w:start w:val="1"/>
      <w:numFmt w:val="bullet"/>
      <w:lvlText w:val=""/>
      <w:lvlJc w:val="left"/>
      <w:pPr>
        <w:ind w:left="5658" w:hanging="360"/>
      </w:pPr>
      <w:rPr>
        <w:rFonts w:ascii="Wingdings" w:hAnsi="Wingdings" w:hint="default"/>
      </w:rPr>
    </w:lvl>
    <w:lvl w:ilvl="6" w:tplc="04090001" w:tentative="1">
      <w:start w:val="1"/>
      <w:numFmt w:val="bullet"/>
      <w:lvlText w:val=""/>
      <w:lvlJc w:val="left"/>
      <w:pPr>
        <w:ind w:left="6378" w:hanging="360"/>
      </w:pPr>
      <w:rPr>
        <w:rFonts w:ascii="Symbol" w:hAnsi="Symbol" w:hint="default"/>
      </w:rPr>
    </w:lvl>
    <w:lvl w:ilvl="7" w:tplc="04090003" w:tentative="1">
      <w:start w:val="1"/>
      <w:numFmt w:val="bullet"/>
      <w:lvlText w:val="o"/>
      <w:lvlJc w:val="left"/>
      <w:pPr>
        <w:ind w:left="7098" w:hanging="360"/>
      </w:pPr>
      <w:rPr>
        <w:rFonts w:ascii="Courier New" w:hAnsi="Courier New" w:cs="Courier New" w:hint="default"/>
      </w:rPr>
    </w:lvl>
    <w:lvl w:ilvl="8" w:tplc="04090005" w:tentative="1">
      <w:start w:val="1"/>
      <w:numFmt w:val="bullet"/>
      <w:lvlText w:val=""/>
      <w:lvlJc w:val="left"/>
      <w:pPr>
        <w:ind w:left="7818" w:hanging="360"/>
      </w:pPr>
      <w:rPr>
        <w:rFonts w:ascii="Wingdings" w:hAnsi="Wingdings" w:hint="default"/>
      </w:rPr>
    </w:lvl>
  </w:abstractNum>
  <w:abstractNum w:abstractNumId="2" w15:restartNumberingAfterBreak="0">
    <w:nsid w:val="0A422B19"/>
    <w:multiLevelType w:val="hybridMultilevel"/>
    <w:tmpl w:val="3CFCFDE2"/>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E7B8F"/>
    <w:multiLevelType w:val="hybridMultilevel"/>
    <w:tmpl w:val="67EADB6E"/>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D2040"/>
    <w:multiLevelType w:val="hybridMultilevel"/>
    <w:tmpl w:val="92B8FF60"/>
    <w:lvl w:ilvl="0" w:tplc="AB9CF264">
      <w:numFmt w:val="bullet"/>
      <w:lvlText w:val="-"/>
      <w:lvlJc w:val="left"/>
      <w:pPr>
        <w:ind w:left="1069" w:hanging="360"/>
      </w:pPr>
      <w:rPr>
        <w:rFonts w:ascii="Times New Roman" w:eastAsiaTheme="minorHAnsi" w:hAnsi="Times New Roman" w:cs="Times New Roman" w:hint="default"/>
      </w:rPr>
    </w:lvl>
    <w:lvl w:ilvl="1" w:tplc="04020003">
      <w:start w:val="1"/>
      <w:numFmt w:val="bullet"/>
      <w:lvlText w:val="o"/>
      <w:lvlJc w:val="left"/>
      <w:pPr>
        <w:ind w:left="1789" w:hanging="360"/>
      </w:pPr>
      <w:rPr>
        <w:rFonts w:ascii="Courier New" w:hAnsi="Courier New" w:cs="Courier New" w:hint="default"/>
      </w:rPr>
    </w:lvl>
    <w:lvl w:ilvl="2" w:tplc="04020005">
      <w:start w:val="1"/>
      <w:numFmt w:val="bullet"/>
      <w:lvlText w:val=""/>
      <w:lvlJc w:val="left"/>
      <w:pPr>
        <w:ind w:left="2509" w:hanging="360"/>
      </w:pPr>
      <w:rPr>
        <w:rFonts w:ascii="Wingdings" w:hAnsi="Wingdings" w:hint="default"/>
      </w:rPr>
    </w:lvl>
    <w:lvl w:ilvl="3" w:tplc="04020001">
      <w:start w:val="1"/>
      <w:numFmt w:val="bullet"/>
      <w:lvlText w:val=""/>
      <w:lvlJc w:val="left"/>
      <w:pPr>
        <w:ind w:left="3229" w:hanging="360"/>
      </w:pPr>
      <w:rPr>
        <w:rFonts w:ascii="Symbol" w:hAnsi="Symbol" w:hint="default"/>
      </w:rPr>
    </w:lvl>
    <w:lvl w:ilvl="4" w:tplc="04020003">
      <w:start w:val="1"/>
      <w:numFmt w:val="bullet"/>
      <w:lvlText w:val="o"/>
      <w:lvlJc w:val="left"/>
      <w:pPr>
        <w:ind w:left="3949" w:hanging="360"/>
      </w:pPr>
      <w:rPr>
        <w:rFonts w:ascii="Courier New" w:hAnsi="Courier New" w:cs="Courier New" w:hint="default"/>
      </w:rPr>
    </w:lvl>
    <w:lvl w:ilvl="5" w:tplc="04020005">
      <w:start w:val="1"/>
      <w:numFmt w:val="bullet"/>
      <w:lvlText w:val=""/>
      <w:lvlJc w:val="left"/>
      <w:pPr>
        <w:ind w:left="4669" w:hanging="360"/>
      </w:pPr>
      <w:rPr>
        <w:rFonts w:ascii="Wingdings" w:hAnsi="Wingdings" w:hint="default"/>
      </w:rPr>
    </w:lvl>
    <w:lvl w:ilvl="6" w:tplc="04020001">
      <w:start w:val="1"/>
      <w:numFmt w:val="bullet"/>
      <w:lvlText w:val=""/>
      <w:lvlJc w:val="left"/>
      <w:pPr>
        <w:ind w:left="5389" w:hanging="360"/>
      </w:pPr>
      <w:rPr>
        <w:rFonts w:ascii="Symbol" w:hAnsi="Symbol" w:hint="default"/>
      </w:rPr>
    </w:lvl>
    <w:lvl w:ilvl="7" w:tplc="04020003">
      <w:start w:val="1"/>
      <w:numFmt w:val="bullet"/>
      <w:lvlText w:val="o"/>
      <w:lvlJc w:val="left"/>
      <w:pPr>
        <w:ind w:left="6109" w:hanging="360"/>
      </w:pPr>
      <w:rPr>
        <w:rFonts w:ascii="Courier New" w:hAnsi="Courier New" w:cs="Courier New" w:hint="default"/>
      </w:rPr>
    </w:lvl>
    <w:lvl w:ilvl="8" w:tplc="04020005">
      <w:start w:val="1"/>
      <w:numFmt w:val="bullet"/>
      <w:lvlText w:val=""/>
      <w:lvlJc w:val="left"/>
      <w:pPr>
        <w:ind w:left="6829" w:hanging="360"/>
      </w:pPr>
      <w:rPr>
        <w:rFonts w:ascii="Wingdings" w:hAnsi="Wingdings" w:hint="default"/>
      </w:rPr>
    </w:lvl>
  </w:abstractNum>
  <w:abstractNum w:abstractNumId="5" w15:restartNumberingAfterBreak="0">
    <w:nsid w:val="0FA32189"/>
    <w:multiLevelType w:val="hybridMultilevel"/>
    <w:tmpl w:val="6590D972"/>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F4E15"/>
    <w:multiLevelType w:val="hybridMultilevel"/>
    <w:tmpl w:val="FE26A748"/>
    <w:lvl w:ilvl="0" w:tplc="8B6E873E">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3C524BE"/>
    <w:multiLevelType w:val="hybridMultilevel"/>
    <w:tmpl w:val="EB0CAA44"/>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9549C"/>
    <w:multiLevelType w:val="hybridMultilevel"/>
    <w:tmpl w:val="FE664CF6"/>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77AD6"/>
    <w:multiLevelType w:val="hybridMultilevel"/>
    <w:tmpl w:val="9EF24C38"/>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90257"/>
    <w:multiLevelType w:val="hybridMultilevel"/>
    <w:tmpl w:val="35C09800"/>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251D6"/>
    <w:multiLevelType w:val="hybridMultilevel"/>
    <w:tmpl w:val="2432D78A"/>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869D3"/>
    <w:multiLevelType w:val="hybridMultilevel"/>
    <w:tmpl w:val="EC727E36"/>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A1C60"/>
    <w:multiLevelType w:val="hybridMultilevel"/>
    <w:tmpl w:val="69E86AB4"/>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D0434"/>
    <w:multiLevelType w:val="hybridMultilevel"/>
    <w:tmpl w:val="E8EC474C"/>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A3381"/>
    <w:multiLevelType w:val="hybridMultilevel"/>
    <w:tmpl w:val="6A98D212"/>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E20F1"/>
    <w:multiLevelType w:val="hybridMultilevel"/>
    <w:tmpl w:val="BE26598E"/>
    <w:lvl w:ilvl="0" w:tplc="5DCE2018">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7" w15:restartNumberingAfterBreak="0">
    <w:nsid w:val="2DEB4F27"/>
    <w:multiLevelType w:val="hybridMultilevel"/>
    <w:tmpl w:val="301E4472"/>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737BB"/>
    <w:multiLevelType w:val="hybridMultilevel"/>
    <w:tmpl w:val="C122BD46"/>
    <w:lvl w:ilvl="0" w:tplc="5DCE2018">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453D7CFF"/>
    <w:multiLevelType w:val="hybridMultilevel"/>
    <w:tmpl w:val="DD56A934"/>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E294E"/>
    <w:multiLevelType w:val="hybridMultilevel"/>
    <w:tmpl w:val="2D547CEC"/>
    <w:lvl w:ilvl="0" w:tplc="44526118">
      <w:start w:val="1"/>
      <w:numFmt w:val="bullet"/>
      <w:lvlText w:val=""/>
      <w:lvlJc w:val="left"/>
      <w:pPr>
        <w:ind w:left="720" w:hanging="360"/>
      </w:pPr>
      <w:rPr>
        <w:rFonts w:ascii="Symbol" w:hAnsi="Symbol" w:hint="default"/>
      </w:rPr>
    </w:lvl>
    <w:lvl w:ilvl="1" w:tplc="5DCE201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B902A9"/>
    <w:multiLevelType w:val="hybridMultilevel"/>
    <w:tmpl w:val="BD3049D0"/>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B328C"/>
    <w:multiLevelType w:val="hybridMultilevel"/>
    <w:tmpl w:val="3A3A3D00"/>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209E5"/>
    <w:multiLevelType w:val="hybridMultilevel"/>
    <w:tmpl w:val="0D167DB0"/>
    <w:lvl w:ilvl="0" w:tplc="5DCE2018">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4" w15:restartNumberingAfterBreak="0">
    <w:nsid w:val="55EF7FCA"/>
    <w:multiLevelType w:val="hybridMultilevel"/>
    <w:tmpl w:val="73480126"/>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65DD6"/>
    <w:multiLevelType w:val="hybridMultilevel"/>
    <w:tmpl w:val="5412C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4659A"/>
    <w:multiLevelType w:val="hybridMultilevel"/>
    <w:tmpl w:val="7A1039CA"/>
    <w:lvl w:ilvl="0" w:tplc="5DCE20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D4434"/>
    <w:multiLevelType w:val="hybridMultilevel"/>
    <w:tmpl w:val="9CBA27D0"/>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65B7C"/>
    <w:multiLevelType w:val="hybridMultilevel"/>
    <w:tmpl w:val="055A8B02"/>
    <w:lvl w:ilvl="0" w:tplc="36FE06C2">
      <w:start w:val="1"/>
      <w:numFmt w:val="bullet"/>
      <w:pStyle w:val="Bulit"/>
      <w:lvlText w:val=""/>
      <w:lvlJc w:val="left"/>
      <w:pPr>
        <w:ind w:left="2058" w:hanging="360"/>
      </w:pPr>
      <w:rPr>
        <w:rFonts w:ascii="Symbol" w:hAnsi="Symbol" w:hint="default"/>
      </w:rPr>
    </w:lvl>
    <w:lvl w:ilvl="1" w:tplc="04090003" w:tentative="1">
      <w:start w:val="1"/>
      <w:numFmt w:val="bullet"/>
      <w:lvlText w:val="o"/>
      <w:lvlJc w:val="left"/>
      <w:pPr>
        <w:ind w:left="2778" w:hanging="360"/>
      </w:pPr>
      <w:rPr>
        <w:rFonts w:ascii="Courier New" w:hAnsi="Courier New" w:cs="Courier New" w:hint="default"/>
      </w:rPr>
    </w:lvl>
    <w:lvl w:ilvl="2" w:tplc="04090005" w:tentative="1">
      <w:start w:val="1"/>
      <w:numFmt w:val="bullet"/>
      <w:lvlText w:val=""/>
      <w:lvlJc w:val="left"/>
      <w:pPr>
        <w:ind w:left="3498" w:hanging="360"/>
      </w:pPr>
      <w:rPr>
        <w:rFonts w:ascii="Wingdings" w:hAnsi="Wingdings" w:hint="default"/>
      </w:rPr>
    </w:lvl>
    <w:lvl w:ilvl="3" w:tplc="04090001" w:tentative="1">
      <w:start w:val="1"/>
      <w:numFmt w:val="bullet"/>
      <w:lvlText w:val=""/>
      <w:lvlJc w:val="left"/>
      <w:pPr>
        <w:ind w:left="4218" w:hanging="360"/>
      </w:pPr>
      <w:rPr>
        <w:rFonts w:ascii="Symbol" w:hAnsi="Symbol" w:hint="default"/>
      </w:rPr>
    </w:lvl>
    <w:lvl w:ilvl="4" w:tplc="04090003" w:tentative="1">
      <w:start w:val="1"/>
      <w:numFmt w:val="bullet"/>
      <w:lvlText w:val="o"/>
      <w:lvlJc w:val="left"/>
      <w:pPr>
        <w:ind w:left="4938" w:hanging="360"/>
      </w:pPr>
      <w:rPr>
        <w:rFonts w:ascii="Courier New" w:hAnsi="Courier New" w:cs="Courier New" w:hint="default"/>
      </w:rPr>
    </w:lvl>
    <w:lvl w:ilvl="5" w:tplc="04090005" w:tentative="1">
      <w:start w:val="1"/>
      <w:numFmt w:val="bullet"/>
      <w:lvlText w:val=""/>
      <w:lvlJc w:val="left"/>
      <w:pPr>
        <w:ind w:left="5658" w:hanging="360"/>
      </w:pPr>
      <w:rPr>
        <w:rFonts w:ascii="Wingdings" w:hAnsi="Wingdings" w:hint="default"/>
      </w:rPr>
    </w:lvl>
    <w:lvl w:ilvl="6" w:tplc="04090001" w:tentative="1">
      <w:start w:val="1"/>
      <w:numFmt w:val="bullet"/>
      <w:lvlText w:val=""/>
      <w:lvlJc w:val="left"/>
      <w:pPr>
        <w:ind w:left="6378" w:hanging="360"/>
      </w:pPr>
      <w:rPr>
        <w:rFonts w:ascii="Symbol" w:hAnsi="Symbol" w:hint="default"/>
      </w:rPr>
    </w:lvl>
    <w:lvl w:ilvl="7" w:tplc="04090003" w:tentative="1">
      <w:start w:val="1"/>
      <w:numFmt w:val="bullet"/>
      <w:lvlText w:val="o"/>
      <w:lvlJc w:val="left"/>
      <w:pPr>
        <w:ind w:left="7098" w:hanging="360"/>
      </w:pPr>
      <w:rPr>
        <w:rFonts w:ascii="Courier New" w:hAnsi="Courier New" w:cs="Courier New" w:hint="default"/>
      </w:rPr>
    </w:lvl>
    <w:lvl w:ilvl="8" w:tplc="04090005" w:tentative="1">
      <w:start w:val="1"/>
      <w:numFmt w:val="bullet"/>
      <w:lvlText w:val=""/>
      <w:lvlJc w:val="left"/>
      <w:pPr>
        <w:ind w:left="7818" w:hanging="360"/>
      </w:pPr>
      <w:rPr>
        <w:rFonts w:ascii="Wingdings" w:hAnsi="Wingdings" w:hint="default"/>
      </w:rPr>
    </w:lvl>
  </w:abstractNum>
  <w:abstractNum w:abstractNumId="29" w15:restartNumberingAfterBreak="0">
    <w:nsid w:val="6D6F0CC5"/>
    <w:multiLevelType w:val="hybridMultilevel"/>
    <w:tmpl w:val="03FC2E90"/>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53252"/>
    <w:multiLevelType w:val="hybridMultilevel"/>
    <w:tmpl w:val="6778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6D7D9D"/>
    <w:multiLevelType w:val="hybridMultilevel"/>
    <w:tmpl w:val="9202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331CB"/>
    <w:multiLevelType w:val="hybridMultilevel"/>
    <w:tmpl w:val="C4EAF4C2"/>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B383B"/>
    <w:multiLevelType w:val="hybridMultilevel"/>
    <w:tmpl w:val="7908AC62"/>
    <w:lvl w:ilvl="0" w:tplc="5DCE20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5"/>
  </w:num>
  <w:num w:numId="4">
    <w:abstractNumId w:val="21"/>
  </w:num>
  <w:num w:numId="5">
    <w:abstractNumId w:val="2"/>
  </w:num>
  <w:num w:numId="6">
    <w:abstractNumId w:val="11"/>
  </w:num>
  <w:num w:numId="7">
    <w:abstractNumId w:val="27"/>
  </w:num>
  <w:num w:numId="8">
    <w:abstractNumId w:val="14"/>
  </w:num>
  <w:num w:numId="9">
    <w:abstractNumId w:val="3"/>
  </w:num>
  <w:num w:numId="10">
    <w:abstractNumId w:val="8"/>
  </w:num>
  <w:num w:numId="11">
    <w:abstractNumId w:val="32"/>
  </w:num>
  <w:num w:numId="12">
    <w:abstractNumId w:val="13"/>
  </w:num>
  <w:num w:numId="13">
    <w:abstractNumId w:val="17"/>
  </w:num>
  <w:num w:numId="14">
    <w:abstractNumId w:val="0"/>
  </w:num>
  <w:num w:numId="15">
    <w:abstractNumId w:val="22"/>
  </w:num>
  <w:num w:numId="16">
    <w:abstractNumId w:val="19"/>
  </w:num>
  <w:num w:numId="17">
    <w:abstractNumId w:val="12"/>
  </w:num>
  <w:num w:numId="18">
    <w:abstractNumId w:val="15"/>
  </w:num>
  <w:num w:numId="19">
    <w:abstractNumId w:val="33"/>
  </w:num>
  <w:num w:numId="20">
    <w:abstractNumId w:val="29"/>
  </w:num>
  <w:num w:numId="21">
    <w:abstractNumId w:val="5"/>
  </w:num>
  <w:num w:numId="22">
    <w:abstractNumId w:val="18"/>
  </w:num>
  <w:num w:numId="23">
    <w:abstractNumId w:val="28"/>
  </w:num>
  <w:num w:numId="24">
    <w:abstractNumId w:val="9"/>
  </w:num>
  <w:num w:numId="25">
    <w:abstractNumId w:val="26"/>
  </w:num>
  <w:num w:numId="26">
    <w:abstractNumId w:val="20"/>
  </w:num>
  <w:num w:numId="27">
    <w:abstractNumId w:val="1"/>
  </w:num>
  <w:num w:numId="28">
    <w:abstractNumId w:val="24"/>
  </w:num>
  <w:num w:numId="29">
    <w:abstractNumId w:val="10"/>
  </w:num>
  <w:num w:numId="30">
    <w:abstractNumId w:val="16"/>
  </w:num>
  <w:num w:numId="31">
    <w:abstractNumId w:val="7"/>
  </w:num>
  <w:num w:numId="32">
    <w:abstractNumId w:val="23"/>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8A"/>
    <w:rsid w:val="000112D3"/>
    <w:rsid w:val="000161BA"/>
    <w:rsid w:val="000164EF"/>
    <w:rsid w:val="000207CB"/>
    <w:rsid w:val="00021BF7"/>
    <w:rsid w:val="000226E8"/>
    <w:rsid w:val="0002599C"/>
    <w:rsid w:val="000265BA"/>
    <w:rsid w:val="000329CB"/>
    <w:rsid w:val="000337DC"/>
    <w:rsid w:val="00037251"/>
    <w:rsid w:val="00037A16"/>
    <w:rsid w:val="00046302"/>
    <w:rsid w:val="00046F26"/>
    <w:rsid w:val="000501A8"/>
    <w:rsid w:val="000509D6"/>
    <w:rsid w:val="00054792"/>
    <w:rsid w:val="0005608B"/>
    <w:rsid w:val="000609CF"/>
    <w:rsid w:val="000651B1"/>
    <w:rsid w:val="0006558F"/>
    <w:rsid w:val="00070BFC"/>
    <w:rsid w:val="0007453A"/>
    <w:rsid w:val="00075CC1"/>
    <w:rsid w:val="000804D5"/>
    <w:rsid w:val="0008164F"/>
    <w:rsid w:val="00082615"/>
    <w:rsid w:val="00083276"/>
    <w:rsid w:val="0009634A"/>
    <w:rsid w:val="000A17AA"/>
    <w:rsid w:val="000A3A11"/>
    <w:rsid w:val="000A4910"/>
    <w:rsid w:val="000B6674"/>
    <w:rsid w:val="000B74BB"/>
    <w:rsid w:val="000C0B81"/>
    <w:rsid w:val="000C4CDC"/>
    <w:rsid w:val="000C6886"/>
    <w:rsid w:val="000C7AB6"/>
    <w:rsid w:val="000D29D9"/>
    <w:rsid w:val="000D58E1"/>
    <w:rsid w:val="000D7F43"/>
    <w:rsid w:val="000E26F8"/>
    <w:rsid w:val="000E39C8"/>
    <w:rsid w:val="000F2683"/>
    <w:rsid w:val="00102258"/>
    <w:rsid w:val="001071E0"/>
    <w:rsid w:val="00117FCD"/>
    <w:rsid w:val="00123935"/>
    <w:rsid w:val="00136CB9"/>
    <w:rsid w:val="00141AFD"/>
    <w:rsid w:val="00143FA8"/>
    <w:rsid w:val="001444AB"/>
    <w:rsid w:val="0014631B"/>
    <w:rsid w:val="00146A36"/>
    <w:rsid w:val="00156544"/>
    <w:rsid w:val="001578C3"/>
    <w:rsid w:val="00165AA5"/>
    <w:rsid w:val="0017159F"/>
    <w:rsid w:val="00176FAF"/>
    <w:rsid w:val="00180188"/>
    <w:rsid w:val="00180D00"/>
    <w:rsid w:val="00184E67"/>
    <w:rsid w:val="001937CD"/>
    <w:rsid w:val="0019447B"/>
    <w:rsid w:val="0019597A"/>
    <w:rsid w:val="0019612C"/>
    <w:rsid w:val="001A4783"/>
    <w:rsid w:val="001B1090"/>
    <w:rsid w:val="001B16FD"/>
    <w:rsid w:val="001B245C"/>
    <w:rsid w:val="001B39D2"/>
    <w:rsid w:val="001B39D3"/>
    <w:rsid w:val="001B4419"/>
    <w:rsid w:val="001B5611"/>
    <w:rsid w:val="001B6284"/>
    <w:rsid w:val="001B6F56"/>
    <w:rsid w:val="001B71D1"/>
    <w:rsid w:val="001B7C24"/>
    <w:rsid w:val="001C0F1B"/>
    <w:rsid w:val="001C40CC"/>
    <w:rsid w:val="001D1763"/>
    <w:rsid w:val="001D2BBE"/>
    <w:rsid w:val="001D45FC"/>
    <w:rsid w:val="001E0807"/>
    <w:rsid w:val="001E0B2F"/>
    <w:rsid w:val="001F0E36"/>
    <w:rsid w:val="002048F8"/>
    <w:rsid w:val="00205F48"/>
    <w:rsid w:val="0020615D"/>
    <w:rsid w:val="002122F3"/>
    <w:rsid w:val="002131B9"/>
    <w:rsid w:val="002169BC"/>
    <w:rsid w:val="00224A3C"/>
    <w:rsid w:val="00231281"/>
    <w:rsid w:val="00235B80"/>
    <w:rsid w:val="0023693F"/>
    <w:rsid w:val="00237644"/>
    <w:rsid w:val="0024207F"/>
    <w:rsid w:val="00242DB6"/>
    <w:rsid w:val="002460B9"/>
    <w:rsid w:val="002461D1"/>
    <w:rsid w:val="00247400"/>
    <w:rsid w:val="00254643"/>
    <w:rsid w:val="00255731"/>
    <w:rsid w:val="0025773B"/>
    <w:rsid w:val="00263F8A"/>
    <w:rsid w:val="00263FD2"/>
    <w:rsid w:val="002732AD"/>
    <w:rsid w:val="002776B5"/>
    <w:rsid w:val="00280793"/>
    <w:rsid w:val="00281719"/>
    <w:rsid w:val="00282585"/>
    <w:rsid w:val="002847E8"/>
    <w:rsid w:val="00287706"/>
    <w:rsid w:val="0029094F"/>
    <w:rsid w:val="002912F7"/>
    <w:rsid w:val="00291506"/>
    <w:rsid w:val="00297048"/>
    <w:rsid w:val="002A294B"/>
    <w:rsid w:val="002A5293"/>
    <w:rsid w:val="002A5378"/>
    <w:rsid w:val="002A7491"/>
    <w:rsid w:val="002B0F65"/>
    <w:rsid w:val="002C23DA"/>
    <w:rsid w:val="002C30C9"/>
    <w:rsid w:val="002C349C"/>
    <w:rsid w:val="002C4494"/>
    <w:rsid w:val="002C631A"/>
    <w:rsid w:val="002D5926"/>
    <w:rsid w:val="002E29C3"/>
    <w:rsid w:val="002E3A38"/>
    <w:rsid w:val="002F2786"/>
    <w:rsid w:val="002F3FD4"/>
    <w:rsid w:val="002F44F2"/>
    <w:rsid w:val="00303CDB"/>
    <w:rsid w:val="00305F64"/>
    <w:rsid w:val="0030603B"/>
    <w:rsid w:val="0030677D"/>
    <w:rsid w:val="00307358"/>
    <w:rsid w:val="003107A2"/>
    <w:rsid w:val="00313B89"/>
    <w:rsid w:val="00314ACE"/>
    <w:rsid w:val="0031706C"/>
    <w:rsid w:val="003234BD"/>
    <w:rsid w:val="003254A6"/>
    <w:rsid w:val="00325E2C"/>
    <w:rsid w:val="00335230"/>
    <w:rsid w:val="00335AED"/>
    <w:rsid w:val="0033696D"/>
    <w:rsid w:val="0034051D"/>
    <w:rsid w:val="003561D0"/>
    <w:rsid w:val="003571A4"/>
    <w:rsid w:val="003623A5"/>
    <w:rsid w:val="00366180"/>
    <w:rsid w:val="003731A9"/>
    <w:rsid w:val="0038163E"/>
    <w:rsid w:val="0038657C"/>
    <w:rsid w:val="0038795C"/>
    <w:rsid w:val="003A37CF"/>
    <w:rsid w:val="003B48DD"/>
    <w:rsid w:val="003B68F5"/>
    <w:rsid w:val="003C08FD"/>
    <w:rsid w:val="003C625A"/>
    <w:rsid w:val="003D00D4"/>
    <w:rsid w:val="003D1386"/>
    <w:rsid w:val="003D52EB"/>
    <w:rsid w:val="003E59C4"/>
    <w:rsid w:val="003E5E74"/>
    <w:rsid w:val="003F1968"/>
    <w:rsid w:val="003F1F97"/>
    <w:rsid w:val="00400C79"/>
    <w:rsid w:val="00412A1E"/>
    <w:rsid w:val="00413C18"/>
    <w:rsid w:val="00425F79"/>
    <w:rsid w:val="004306BA"/>
    <w:rsid w:val="00431F1F"/>
    <w:rsid w:val="00436405"/>
    <w:rsid w:val="0043711F"/>
    <w:rsid w:val="00446357"/>
    <w:rsid w:val="004465C8"/>
    <w:rsid w:val="00454200"/>
    <w:rsid w:val="004559B8"/>
    <w:rsid w:val="004565D7"/>
    <w:rsid w:val="00464860"/>
    <w:rsid w:val="00471A41"/>
    <w:rsid w:val="00474931"/>
    <w:rsid w:val="004769A9"/>
    <w:rsid w:val="00484E6A"/>
    <w:rsid w:val="00487C55"/>
    <w:rsid w:val="00492690"/>
    <w:rsid w:val="004A078A"/>
    <w:rsid w:val="004A27F5"/>
    <w:rsid w:val="004A2827"/>
    <w:rsid w:val="004A553E"/>
    <w:rsid w:val="004A73AF"/>
    <w:rsid w:val="004A774E"/>
    <w:rsid w:val="004C0697"/>
    <w:rsid w:val="004C3D85"/>
    <w:rsid w:val="004C5159"/>
    <w:rsid w:val="004C66EC"/>
    <w:rsid w:val="004C743F"/>
    <w:rsid w:val="004D009B"/>
    <w:rsid w:val="004D2D39"/>
    <w:rsid w:val="004D3938"/>
    <w:rsid w:val="004D5657"/>
    <w:rsid w:val="004D6E8F"/>
    <w:rsid w:val="004E2C02"/>
    <w:rsid w:val="004E3B39"/>
    <w:rsid w:val="004E4FB0"/>
    <w:rsid w:val="004E7578"/>
    <w:rsid w:val="004F28E4"/>
    <w:rsid w:val="0050321B"/>
    <w:rsid w:val="00504441"/>
    <w:rsid w:val="005066E0"/>
    <w:rsid w:val="00510612"/>
    <w:rsid w:val="005171A7"/>
    <w:rsid w:val="005203CE"/>
    <w:rsid w:val="00523155"/>
    <w:rsid w:val="005265B2"/>
    <w:rsid w:val="00527DFF"/>
    <w:rsid w:val="00533889"/>
    <w:rsid w:val="005347A0"/>
    <w:rsid w:val="005378BB"/>
    <w:rsid w:val="00537914"/>
    <w:rsid w:val="00541643"/>
    <w:rsid w:val="00546352"/>
    <w:rsid w:val="00546C51"/>
    <w:rsid w:val="00557875"/>
    <w:rsid w:val="00557F0E"/>
    <w:rsid w:val="00561CA5"/>
    <w:rsid w:val="0056232A"/>
    <w:rsid w:val="005623CA"/>
    <w:rsid w:val="005701D2"/>
    <w:rsid w:val="00570A05"/>
    <w:rsid w:val="00575243"/>
    <w:rsid w:val="005777F3"/>
    <w:rsid w:val="00585973"/>
    <w:rsid w:val="0059003A"/>
    <w:rsid w:val="005960CD"/>
    <w:rsid w:val="0059676A"/>
    <w:rsid w:val="005A051D"/>
    <w:rsid w:val="005A3CFA"/>
    <w:rsid w:val="005A3EB5"/>
    <w:rsid w:val="005A49D0"/>
    <w:rsid w:val="005A5741"/>
    <w:rsid w:val="005A60EA"/>
    <w:rsid w:val="005A781A"/>
    <w:rsid w:val="005B205F"/>
    <w:rsid w:val="005C3667"/>
    <w:rsid w:val="005C386D"/>
    <w:rsid w:val="005C5F87"/>
    <w:rsid w:val="005D0809"/>
    <w:rsid w:val="005D2FDA"/>
    <w:rsid w:val="005D3F46"/>
    <w:rsid w:val="005D6D08"/>
    <w:rsid w:val="005D7B1F"/>
    <w:rsid w:val="005E3CF5"/>
    <w:rsid w:val="005E58F0"/>
    <w:rsid w:val="005E6116"/>
    <w:rsid w:val="005F4D76"/>
    <w:rsid w:val="005F7092"/>
    <w:rsid w:val="00600E97"/>
    <w:rsid w:val="006111BA"/>
    <w:rsid w:val="00613258"/>
    <w:rsid w:val="0063352C"/>
    <w:rsid w:val="00634DE3"/>
    <w:rsid w:val="00637ABD"/>
    <w:rsid w:val="006409B5"/>
    <w:rsid w:val="00641649"/>
    <w:rsid w:val="006426A8"/>
    <w:rsid w:val="006464DB"/>
    <w:rsid w:val="00647052"/>
    <w:rsid w:val="00656773"/>
    <w:rsid w:val="00664F84"/>
    <w:rsid w:val="00667665"/>
    <w:rsid w:val="006755C0"/>
    <w:rsid w:val="006771DE"/>
    <w:rsid w:val="00681167"/>
    <w:rsid w:val="006812F2"/>
    <w:rsid w:val="00681865"/>
    <w:rsid w:val="00682C1F"/>
    <w:rsid w:val="00683265"/>
    <w:rsid w:val="0068437B"/>
    <w:rsid w:val="00686A8C"/>
    <w:rsid w:val="0068740B"/>
    <w:rsid w:val="0068771C"/>
    <w:rsid w:val="00691123"/>
    <w:rsid w:val="00693ADD"/>
    <w:rsid w:val="006952D2"/>
    <w:rsid w:val="00695E09"/>
    <w:rsid w:val="006976BF"/>
    <w:rsid w:val="006B239F"/>
    <w:rsid w:val="006B26BE"/>
    <w:rsid w:val="006C4B07"/>
    <w:rsid w:val="006D308D"/>
    <w:rsid w:val="006D5698"/>
    <w:rsid w:val="006D5DC9"/>
    <w:rsid w:val="006D7B57"/>
    <w:rsid w:val="006E5F2A"/>
    <w:rsid w:val="006E6443"/>
    <w:rsid w:val="0070007D"/>
    <w:rsid w:val="00700A11"/>
    <w:rsid w:val="007031ED"/>
    <w:rsid w:val="007122B6"/>
    <w:rsid w:val="00716AFB"/>
    <w:rsid w:val="00726995"/>
    <w:rsid w:val="00726EDC"/>
    <w:rsid w:val="0073071F"/>
    <w:rsid w:val="00732720"/>
    <w:rsid w:val="00733927"/>
    <w:rsid w:val="00734D3B"/>
    <w:rsid w:val="00737C6B"/>
    <w:rsid w:val="007412A2"/>
    <w:rsid w:val="007454C0"/>
    <w:rsid w:val="00750102"/>
    <w:rsid w:val="007552F0"/>
    <w:rsid w:val="007564E0"/>
    <w:rsid w:val="00762BC4"/>
    <w:rsid w:val="00776741"/>
    <w:rsid w:val="00777E87"/>
    <w:rsid w:val="007805CE"/>
    <w:rsid w:val="00780CB8"/>
    <w:rsid w:val="00791104"/>
    <w:rsid w:val="007A303B"/>
    <w:rsid w:val="007B0C8F"/>
    <w:rsid w:val="007B1AD3"/>
    <w:rsid w:val="007B1F87"/>
    <w:rsid w:val="007B3759"/>
    <w:rsid w:val="007B74BE"/>
    <w:rsid w:val="007C087D"/>
    <w:rsid w:val="007C13B3"/>
    <w:rsid w:val="007C2A7B"/>
    <w:rsid w:val="007C764B"/>
    <w:rsid w:val="007D200B"/>
    <w:rsid w:val="007D7353"/>
    <w:rsid w:val="007E791C"/>
    <w:rsid w:val="007F3618"/>
    <w:rsid w:val="008050D1"/>
    <w:rsid w:val="00805281"/>
    <w:rsid w:val="00812553"/>
    <w:rsid w:val="00815A5E"/>
    <w:rsid w:val="008214D9"/>
    <w:rsid w:val="00821DC9"/>
    <w:rsid w:val="00826521"/>
    <w:rsid w:val="00833A45"/>
    <w:rsid w:val="008354E9"/>
    <w:rsid w:val="0084617C"/>
    <w:rsid w:val="00846AD0"/>
    <w:rsid w:val="00850248"/>
    <w:rsid w:val="00862DA8"/>
    <w:rsid w:val="008666FC"/>
    <w:rsid w:val="00870ADB"/>
    <w:rsid w:val="00872844"/>
    <w:rsid w:val="00883C44"/>
    <w:rsid w:val="00886FB0"/>
    <w:rsid w:val="0088789F"/>
    <w:rsid w:val="0089226D"/>
    <w:rsid w:val="00892552"/>
    <w:rsid w:val="0089279B"/>
    <w:rsid w:val="00894F90"/>
    <w:rsid w:val="00896DCE"/>
    <w:rsid w:val="008971DD"/>
    <w:rsid w:val="008A3D8A"/>
    <w:rsid w:val="008A4410"/>
    <w:rsid w:val="008A4A21"/>
    <w:rsid w:val="008A5119"/>
    <w:rsid w:val="008B14F8"/>
    <w:rsid w:val="008B1C59"/>
    <w:rsid w:val="008B6729"/>
    <w:rsid w:val="008C0C8B"/>
    <w:rsid w:val="008C57E8"/>
    <w:rsid w:val="008C7103"/>
    <w:rsid w:val="008D1D31"/>
    <w:rsid w:val="008D39A9"/>
    <w:rsid w:val="008D4225"/>
    <w:rsid w:val="008D48E1"/>
    <w:rsid w:val="008E2644"/>
    <w:rsid w:val="008E7E67"/>
    <w:rsid w:val="008F566F"/>
    <w:rsid w:val="008F6616"/>
    <w:rsid w:val="00902322"/>
    <w:rsid w:val="00902E13"/>
    <w:rsid w:val="00907A9C"/>
    <w:rsid w:val="00917D79"/>
    <w:rsid w:val="0092046F"/>
    <w:rsid w:val="00930068"/>
    <w:rsid w:val="009301ED"/>
    <w:rsid w:val="00930393"/>
    <w:rsid w:val="00930603"/>
    <w:rsid w:val="009312E9"/>
    <w:rsid w:val="00933417"/>
    <w:rsid w:val="00940AC7"/>
    <w:rsid w:val="009450D6"/>
    <w:rsid w:val="009452D7"/>
    <w:rsid w:val="009479E1"/>
    <w:rsid w:val="009544B4"/>
    <w:rsid w:val="00960D6D"/>
    <w:rsid w:val="00962136"/>
    <w:rsid w:val="00971A4D"/>
    <w:rsid w:val="0097673E"/>
    <w:rsid w:val="0097708E"/>
    <w:rsid w:val="00983972"/>
    <w:rsid w:val="00990A67"/>
    <w:rsid w:val="00991FC0"/>
    <w:rsid w:val="0099311B"/>
    <w:rsid w:val="009A01E2"/>
    <w:rsid w:val="009A1C2E"/>
    <w:rsid w:val="009A373A"/>
    <w:rsid w:val="009C67A1"/>
    <w:rsid w:val="009C6E2F"/>
    <w:rsid w:val="009D1858"/>
    <w:rsid w:val="009D6865"/>
    <w:rsid w:val="009E16D2"/>
    <w:rsid w:val="009E1A1C"/>
    <w:rsid w:val="009E382A"/>
    <w:rsid w:val="009E59FF"/>
    <w:rsid w:val="009F38BD"/>
    <w:rsid w:val="00A02655"/>
    <w:rsid w:val="00A05BFC"/>
    <w:rsid w:val="00A125EF"/>
    <w:rsid w:val="00A16749"/>
    <w:rsid w:val="00A17BFC"/>
    <w:rsid w:val="00A21515"/>
    <w:rsid w:val="00A22744"/>
    <w:rsid w:val="00A2420B"/>
    <w:rsid w:val="00A2619C"/>
    <w:rsid w:val="00A357C5"/>
    <w:rsid w:val="00A40BAB"/>
    <w:rsid w:val="00A445EB"/>
    <w:rsid w:val="00A51F1E"/>
    <w:rsid w:val="00A657EE"/>
    <w:rsid w:val="00A71597"/>
    <w:rsid w:val="00A75C12"/>
    <w:rsid w:val="00A765F8"/>
    <w:rsid w:val="00A8076E"/>
    <w:rsid w:val="00A8421C"/>
    <w:rsid w:val="00A861AB"/>
    <w:rsid w:val="00A9392E"/>
    <w:rsid w:val="00A94B46"/>
    <w:rsid w:val="00A959D2"/>
    <w:rsid w:val="00A95A1B"/>
    <w:rsid w:val="00A97DD0"/>
    <w:rsid w:val="00AA3B77"/>
    <w:rsid w:val="00AB3A01"/>
    <w:rsid w:val="00AB45F4"/>
    <w:rsid w:val="00AB5734"/>
    <w:rsid w:val="00AB7E31"/>
    <w:rsid w:val="00AC0A55"/>
    <w:rsid w:val="00AC0AE4"/>
    <w:rsid w:val="00AC3582"/>
    <w:rsid w:val="00AC7210"/>
    <w:rsid w:val="00AD2613"/>
    <w:rsid w:val="00AD3C39"/>
    <w:rsid w:val="00AD4234"/>
    <w:rsid w:val="00AD7E90"/>
    <w:rsid w:val="00AE0AAE"/>
    <w:rsid w:val="00AE614D"/>
    <w:rsid w:val="00AE6A7A"/>
    <w:rsid w:val="00AE7E64"/>
    <w:rsid w:val="00AF606E"/>
    <w:rsid w:val="00AF7EC0"/>
    <w:rsid w:val="00B01A01"/>
    <w:rsid w:val="00B039EC"/>
    <w:rsid w:val="00B13938"/>
    <w:rsid w:val="00B22003"/>
    <w:rsid w:val="00B22458"/>
    <w:rsid w:val="00B22B84"/>
    <w:rsid w:val="00B27357"/>
    <w:rsid w:val="00B32039"/>
    <w:rsid w:val="00B33FBD"/>
    <w:rsid w:val="00B36008"/>
    <w:rsid w:val="00B3740E"/>
    <w:rsid w:val="00B40CE0"/>
    <w:rsid w:val="00B41DBC"/>
    <w:rsid w:val="00B41FE4"/>
    <w:rsid w:val="00B4224A"/>
    <w:rsid w:val="00B42C6B"/>
    <w:rsid w:val="00B5179E"/>
    <w:rsid w:val="00B575BA"/>
    <w:rsid w:val="00B57F61"/>
    <w:rsid w:val="00B6127B"/>
    <w:rsid w:val="00B6392E"/>
    <w:rsid w:val="00B67883"/>
    <w:rsid w:val="00B714F2"/>
    <w:rsid w:val="00B729DB"/>
    <w:rsid w:val="00B72C95"/>
    <w:rsid w:val="00B84138"/>
    <w:rsid w:val="00B874FC"/>
    <w:rsid w:val="00B97997"/>
    <w:rsid w:val="00BA0958"/>
    <w:rsid w:val="00BA0961"/>
    <w:rsid w:val="00BA2EA9"/>
    <w:rsid w:val="00BA3DB3"/>
    <w:rsid w:val="00BA3F93"/>
    <w:rsid w:val="00BA6515"/>
    <w:rsid w:val="00BA6944"/>
    <w:rsid w:val="00BB0DCB"/>
    <w:rsid w:val="00BB7082"/>
    <w:rsid w:val="00BC0A8A"/>
    <w:rsid w:val="00BC0F56"/>
    <w:rsid w:val="00BC1376"/>
    <w:rsid w:val="00BD2066"/>
    <w:rsid w:val="00BF2972"/>
    <w:rsid w:val="00BF441F"/>
    <w:rsid w:val="00C05715"/>
    <w:rsid w:val="00C118F6"/>
    <w:rsid w:val="00C13714"/>
    <w:rsid w:val="00C149E2"/>
    <w:rsid w:val="00C234CE"/>
    <w:rsid w:val="00C23A51"/>
    <w:rsid w:val="00C2633B"/>
    <w:rsid w:val="00C31BE4"/>
    <w:rsid w:val="00C33266"/>
    <w:rsid w:val="00C42F9A"/>
    <w:rsid w:val="00C47A2B"/>
    <w:rsid w:val="00C47F79"/>
    <w:rsid w:val="00C61D5B"/>
    <w:rsid w:val="00C71D61"/>
    <w:rsid w:val="00C72D22"/>
    <w:rsid w:val="00C74A23"/>
    <w:rsid w:val="00C74B67"/>
    <w:rsid w:val="00C77D33"/>
    <w:rsid w:val="00C86566"/>
    <w:rsid w:val="00C86AE2"/>
    <w:rsid w:val="00C91B4E"/>
    <w:rsid w:val="00C91C1D"/>
    <w:rsid w:val="00CA4160"/>
    <w:rsid w:val="00CA4B2A"/>
    <w:rsid w:val="00CB0989"/>
    <w:rsid w:val="00CB4411"/>
    <w:rsid w:val="00CC1151"/>
    <w:rsid w:val="00CD0D65"/>
    <w:rsid w:val="00CD46C3"/>
    <w:rsid w:val="00CE0384"/>
    <w:rsid w:val="00CE3EC6"/>
    <w:rsid w:val="00CE6987"/>
    <w:rsid w:val="00CF054A"/>
    <w:rsid w:val="00CF514A"/>
    <w:rsid w:val="00CF6C67"/>
    <w:rsid w:val="00D100D1"/>
    <w:rsid w:val="00D14D36"/>
    <w:rsid w:val="00D159AF"/>
    <w:rsid w:val="00D2107B"/>
    <w:rsid w:val="00D248F9"/>
    <w:rsid w:val="00D2785A"/>
    <w:rsid w:val="00D326CA"/>
    <w:rsid w:val="00D3344E"/>
    <w:rsid w:val="00D354B2"/>
    <w:rsid w:val="00D40A06"/>
    <w:rsid w:val="00D551F9"/>
    <w:rsid w:val="00D56603"/>
    <w:rsid w:val="00D62340"/>
    <w:rsid w:val="00D67E30"/>
    <w:rsid w:val="00D704A7"/>
    <w:rsid w:val="00D73358"/>
    <w:rsid w:val="00D73E74"/>
    <w:rsid w:val="00D74CF1"/>
    <w:rsid w:val="00D774C0"/>
    <w:rsid w:val="00D80CC2"/>
    <w:rsid w:val="00D856D4"/>
    <w:rsid w:val="00D92D40"/>
    <w:rsid w:val="00D93299"/>
    <w:rsid w:val="00D93AC3"/>
    <w:rsid w:val="00D97C6F"/>
    <w:rsid w:val="00DA2678"/>
    <w:rsid w:val="00DA2DE9"/>
    <w:rsid w:val="00DA56E2"/>
    <w:rsid w:val="00DB6136"/>
    <w:rsid w:val="00DB7F69"/>
    <w:rsid w:val="00DD2A0C"/>
    <w:rsid w:val="00DD2AAD"/>
    <w:rsid w:val="00DD6C31"/>
    <w:rsid w:val="00DD7927"/>
    <w:rsid w:val="00DE4E75"/>
    <w:rsid w:val="00DE6B9D"/>
    <w:rsid w:val="00DF004D"/>
    <w:rsid w:val="00DF4B75"/>
    <w:rsid w:val="00DF5131"/>
    <w:rsid w:val="00DF51A4"/>
    <w:rsid w:val="00DF7060"/>
    <w:rsid w:val="00E01A03"/>
    <w:rsid w:val="00E02B0D"/>
    <w:rsid w:val="00E04C1B"/>
    <w:rsid w:val="00E04CB8"/>
    <w:rsid w:val="00E11220"/>
    <w:rsid w:val="00E1427B"/>
    <w:rsid w:val="00E15B89"/>
    <w:rsid w:val="00E1719F"/>
    <w:rsid w:val="00E305AF"/>
    <w:rsid w:val="00E33B5D"/>
    <w:rsid w:val="00E34701"/>
    <w:rsid w:val="00E40EA5"/>
    <w:rsid w:val="00E41CFC"/>
    <w:rsid w:val="00E421CE"/>
    <w:rsid w:val="00E43441"/>
    <w:rsid w:val="00E44F21"/>
    <w:rsid w:val="00E45665"/>
    <w:rsid w:val="00E5025A"/>
    <w:rsid w:val="00E537E2"/>
    <w:rsid w:val="00E55F3E"/>
    <w:rsid w:val="00E63D38"/>
    <w:rsid w:val="00E82BAC"/>
    <w:rsid w:val="00E86D78"/>
    <w:rsid w:val="00E912A6"/>
    <w:rsid w:val="00E91A96"/>
    <w:rsid w:val="00E92008"/>
    <w:rsid w:val="00E932AF"/>
    <w:rsid w:val="00EB33F3"/>
    <w:rsid w:val="00EC1360"/>
    <w:rsid w:val="00EC5DD0"/>
    <w:rsid w:val="00EC7379"/>
    <w:rsid w:val="00ED360B"/>
    <w:rsid w:val="00EE49DF"/>
    <w:rsid w:val="00EF070C"/>
    <w:rsid w:val="00EF3577"/>
    <w:rsid w:val="00EF45F6"/>
    <w:rsid w:val="00EF68A1"/>
    <w:rsid w:val="00F002DE"/>
    <w:rsid w:val="00F0581A"/>
    <w:rsid w:val="00F06271"/>
    <w:rsid w:val="00F13C3E"/>
    <w:rsid w:val="00F149D6"/>
    <w:rsid w:val="00F15D6E"/>
    <w:rsid w:val="00F20DD4"/>
    <w:rsid w:val="00F3664B"/>
    <w:rsid w:val="00F366B5"/>
    <w:rsid w:val="00F43391"/>
    <w:rsid w:val="00F448B0"/>
    <w:rsid w:val="00F4755A"/>
    <w:rsid w:val="00F501FD"/>
    <w:rsid w:val="00F5238D"/>
    <w:rsid w:val="00F53E23"/>
    <w:rsid w:val="00F611C8"/>
    <w:rsid w:val="00F70F75"/>
    <w:rsid w:val="00F72724"/>
    <w:rsid w:val="00F72CC0"/>
    <w:rsid w:val="00F80A00"/>
    <w:rsid w:val="00F81077"/>
    <w:rsid w:val="00F812DE"/>
    <w:rsid w:val="00F92DC9"/>
    <w:rsid w:val="00F97CAD"/>
    <w:rsid w:val="00FA179F"/>
    <w:rsid w:val="00FA1DA0"/>
    <w:rsid w:val="00FA5F95"/>
    <w:rsid w:val="00FA7179"/>
    <w:rsid w:val="00FB2BBA"/>
    <w:rsid w:val="00FB3DC2"/>
    <w:rsid w:val="00FC11E6"/>
    <w:rsid w:val="00FC2395"/>
    <w:rsid w:val="00FD2032"/>
    <w:rsid w:val="00FD2A25"/>
    <w:rsid w:val="00FD51DE"/>
    <w:rsid w:val="00FD6F18"/>
    <w:rsid w:val="00FD6F88"/>
    <w:rsid w:val="00FD7FCA"/>
    <w:rsid w:val="00FE0F53"/>
    <w:rsid w:val="00FE1A49"/>
    <w:rsid w:val="00FE2496"/>
    <w:rsid w:val="00FE6C0C"/>
    <w:rsid w:val="00FF05AD"/>
    <w:rsid w:val="00FF19CC"/>
    <w:rsid w:val="00FF2C0A"/>
    <w:rsid w:val="00FF32BC"/>
    <w:rsid w:val="00FF59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20F052"/>
  <w15:chartTrackingRefBased/>
  <w15:docId w15:val="{9696B1F2-3970-471B-82B4-4E819B6A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iPriority="35"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DA8"/>
    <w:pPr>
      <w:jc w:val="both"/>
    </w:pPr>
    <w:rPr>
      <w:rFonts w:ascii="Arial" w:hAnsi="Arial"/>
      <w:szCs w:val="24"/>
    </w:rPr>
  </w:style>
  <w:style w:type="paragraph" w:styleId="Heading1">
    <w:name w:val="heading 1"/>
    <w:basedOn w:val="Normal"/>
    <w:next w:val="Normal"/>
    <w:link w:val="Heading1Char"/>
    <w:qFormat/>
    <w:rsid w:val="00070BF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F2C0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F0627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86566"/>
    <w:rPr>
      <w:szCs w:val="20"/>
    </w:rPr>
  </w:style>
  <w:style w:type="character" w:styleId="FootnoteReference">
    <w:name w:val="footnote reference"/>
    <w:uiPriority w:val="99"/>
    <w:semiHidden/>
    <w:rsid w:val="00C86566"/>
    <w:rPr>
      <w:vertAlign w:val="superscript"/>
    </w:rPr>
  </w:style>
  <w:style w:type="paragraph" w:styleId="Header">
    <w:name w:val="header"/>
    <w:basedOn w:val="Normal"/>
    <w:link w:val="HeaderChar"/>
    <w:rsid w:val="00E11220"/>
    <w:pPr>
      <w:tabs>
        <w:tab w:val="center" w:pos="4536"/>
        <w:tab w:val="right" w:pos="9072"/>
      </w:tabs>
    </w:pPr>
  </w:style>
  <w:style w:type="paragraph" w:styleId="Footer">
    <w:name w:val="footer"/>
    <w:basedOn w:val="Normal"/>
    <w:link w:val="FooterChar"/>
    <w:uiPriority w:val="99"/>
    <w:rsid w:val="00E11220"/>
    <w:pPr>
      <w:tabs>
        <w:tab w:val="center" w:pos="4536"/>
        <w:tab w:val="right" w:pos="9072"/>
      </w:tabs>
    </w:pPr>
  </w:style>
  <w:style w:type="table" w:styleId="TableGrid">
    <w:name w:val="Table Grid"/>
    <w:basedOn w:val="TableNormal"/>
    <w:uiPriority w:val="39"/>
    <w:rsid w:val="00CB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2E29C3"/>
    <w:pPr>
      <w:spacing w:after="60"/>
      <w:jc w:val="center"/>
      <w:outlineLvl w:val="1"/>
    </w:pPr>
    <w:rPr>
      <w:rFonts w:ascii="Cambria" w:hAnsi="Cambria"/>
    </w:rPr>
  </w:style>
  <w:style w:type="character" w:customStyle="1" w:styleId="SubtitleChar">
    <w:name w:val="Subtitle Char"/>
    <w:link w:val="Subtitle"/>
    <w:rsid w:val="002E29C3"/>
    <w:rPr>
      <w:rFonts w:ascii="Cambria" w:eastAsia="Times New Roman" w:hAnsi="Cambria" w:cs="Times New Roman"/>
      <w:sz w:val="24"/>
      <w:szCs w:val="24"/>
    </w:rPr>
  </w:style>
  <w:style w:type="paragraph" w:styleId="Title">
    <w:name w:val="Title"/>
    <w:aliases w:val="Заглавие"/>
    <w:basedOn w:val="Normal"/>
    <w:next w:val="Normal"/>
    <w:link w:val="TitleChar"/>
    <w:autoRedefine/>
    <w:qFormat/>
    <w:rsid w:val="00CF514A"/>
    <w:pPr>
      <w:spacing w:after="60"/>
      <w:ind w:left="3062"/>
      <w:outlineLvl w:val="0"/>
    </w:pPr>
    <w:rPr>
      <w:rFonts w:ascii="Verdana" w:hAnsi="Verdana"/>
      <w:b/>
      <w:bCs/>
      <w:kern w:val="28"/>
      <w:sz w:val="32"/>
      <w:szCs w:val="32"/>
    </w:rPr>
  </w:style>
  <w:style w:type="character" w:customStyle="1" w:styleId="TitleChar">
    <w:name w:val="Title Char"/>
    <w:aliases w:val="Заглавие Char"/>
    <w:link w:val="Title"/>
    <w:rsid w:val="00CF514A"/>
    <w:rPr>
      <w:rFonts w:ascii="Verdana" w:hAnsi="Verdana"/>
      <w:b/>
      <w:bCs/>
      <w:kern w:val="28"/>
      <w:sz w:val="32"/>
      <w:szCs w:val="32"/>
      <w:lang w:val="bg-BG" w:eastAsia="bg-BG" w:bidi="ar-SA"/>
    </w:rPr>
  </w:style>
  <w:style w:type="paragraph" w:customStyle="1" w:styleId="a">
    <w:name w:val="Автор"/>
    <w:basedOn w:val="Normal"/>
    <w:link w:val="Char"/>
    <w:qFormat/>
    <w:rsid w:val="00D704A7"/>
    <w:pPr>
      <w:ind w:left="3062"/>
    </w:pPr>
    <w:rPr>
      <w:rFonts w:ascii="Verdana" w:hAnsi="Verdana"/>
      <w:lang w:val="en-US"/>
    </w:rPr>
  </w:style>
  <w:style w:type="paragraph" w:customStyle="1" w:styleId="a0">
    <w:name w:val="Резюме"/>
    <w:basedOn w:val="Normal"/>
    <w:link w:val="Char0"/>
    <w:qFormat/>
    <w:rsid w:val="005C386D"/>
    <w:pPr>
      <w:pBdr>
        <w:bottom w:val="single" w:sz="4" w:space="1" w:color="auto"/>
      </w:pBdr>
    </w:pPr>
    <w:rPr>
      <w:rFonts w:ascii="Verdana" w:hAnsi="Verdana"/>
      <w:i/>
      <w:szCs w:val="20"/>
      <w:lang w:val="en-US"/>
    </w:rPr>
  </w:style>
  <w:style w:type="character" w:customStyle="1" w:styleId="Char">
    <w:name w:val="Автор Char"/>
    <w:link w:val="a"/>
    <w:rsid w:val="00D704A7"/>
    <w:rPr>
      <w:rFonts w:ascii="Verdana" w:hAnsi="Verdana"/>
      <w:szCs w:val="24"/>
      <w:lang w:val="en-US" w:eastAsia="bg-BG" w:bidi="ar-SA"/>
    </w:rPr>
  </w:style>
  <w:style w:type="paragraph" w:customStyle="1" w:styleId="a1">
    <w:name w:val="Точка"/>
    <w:basedOn w:val="Heading1"/>
    <w:link w:val="Char1"/>
    <w:qFormat/>
    <w:rsid w:val="00D704A7"/>
    <w:pPr>
      <w:spacing w:before="120" w:after="120"/>
      <w:jc w:val="left"/>
    </w:pPr>
    <w:rPr>
      <w:rFonts w:ascii="Verdana" w:hAnsi="Verdana"/>
      <w:sz w:val="20"/>
      <w:szCs w:val="20"/>
    </w:rPr>
  </w:style>
  <w:style w:type="character" w:customStyle="1" w:styleId="Char0">
    <w:name w:val="Резюме Char"/>
    <w:link w:val="a0"/>
    <w:rsid w:val="005C386D"/>
    <w:rPr>
      <w:rFonts w:ascii="Verdana" w:hAnsi="Verdana"/>
      <w:i/>
      <w:lang w:val="en-US"/>
    </w:rPr>
  </w:style>
  <w:style w:type="paragraph" w:customStyle="1" w:styleId="a2">
    <w:name w:val="Основен текст"/>
    <w:basedOn w:val="Normal"/>
    <w:link w:val="Char2"/>
    <w:qFormat/>
    <w:rsid w:val="00DA2DE9"/>
    <w:pPr>
      <w:spacing w:after="80"/>
    </w:pPr>
    <w:rPr>
      <w:rFonts w:ascii="Verdana" w:hAnsi="Verdana"/>
      <w:szCs w:val="20"/>
      <w:lang w:val="en-US"/>
    </w:rPr>
  </w:style>
  <w:style w:type="character" w:customStyle="1" w:styleId="Char1">
    <w:name w:val="Точка Char"/>
    <w:link w:val="a1"/>
    <w:rsid w:val="00D704A7"/>
    <w:rPr>
      <w:rFonts w:ascii="Verdana" w:hAnsi="Verdana"/>
      <w:b/>
      <w:bCs/>
      <w:kern w:val="32"/>
      <w:lang w:val="bg-BG" w:eastAsia="bg-BG" w:bidi="ar-SA"/>
    </w:rPr>
  </w:style>
  <w:style w:type="paragraph" w:customStyle="1" w:styleId="a3">
    <w:name w:val="Глава"/>
    <w:basedOn w:val="Header"/>
    <w:link w:val="Char3"/>
    <w:qFormat/>
    <w:rsid w:val="00D704A7"/>
    <w:pPr>
      <w:pBdr>
        <w:bottom w:val="single" w:sz="6" w:space="1" w:color="auto"/>
      </w:pBdr>
    </w:pPr>
    <w:rPr>
      <w:rFonts w:ascii="Verdana" w:hAnsi="Verdana"/>
      <w:sz w:val="16"/>
      <w:szCs w:val="16"/>
    </w:rPr>
  </w:style>
  <w:style w:type="character" w:customStyle="1" w:styleId="Char2">
    <w:name w:val="Основен текст Char"/>
    <w:link w:val="a2"/>
    <w:rsid w:val="00DA2DE9"/>
    <w:rPr>
      <w:rFonts w:ascii="Verdana" w:hAnsi="Verdana"/>
      <w:lang w:val="en-US"/>
    </w:rPr>
  </w:style>
  <w:style w:type="paragraph" w:customStyle="1" w:styleId="a4">
    <w:name w:val="Литература"/>
    <w:basedOn w:val="Normal"/>
    <w:link w:val="Char4"/>
    <w:autoRedefine/>
    <w:qFormat/>
    <w:rsid w:val="006812F2"/>
    <w:pPr>
      <w:spacing w:after="240"/>
    </w:pPr>
    <w:rPr>
      <w:rFonts w:ascii="Verdana" w:hAnsi="Verdana"/>
      <w:szCs w:val="20"/>
      <w:lang w:val="en-US"/>
    </w:rPr>
  </w:style>
  <w:style w:type="character" w:customStyle="1" w:styleId="HeaderChar">
    <w:name w:val="Header Char"/>
    <w:link w:val="Header"/>
    <w:rsid w:val="00AB5734"/>
    <w:rPr>
      <w:rFonts w:ascii="Arial" w:hAnsi="Arial"/>
      <w:sz w:val="24"/>
      <w:szCs w:val="24"/>
    </w:rPr>
  </w:style>
  <w:style w:type="character" w:customStyle="1" w:styleId="Char3">
    <w:name w:val="Глава Char"/>
    <w:link w:val="a3"/>
    <w:rsid w:val="00D704A7"/>
    <w:rPr>
      <w:rFonts w:ascii="Verdana" w:hAnsi="Verdana"/>
      <w:sz w:val="16"/>
      <w:szCs w:val="16"/>
      <w:lang w:val="bg-BG" w:eastAsia="bg-BG" w:bidi="ar-SA"/>
    </w:rPr>
  </w:style>
  <w:style w:type="paragraph" w:customStyle="1" w:styleId="a5">
    <w:name w:val="Таблица Заглавие"/>
    <w:basedOn w:val="Normal"/>
    <w:link w:val="Char5"/>
    <w:qFormat/>
    <w:rsid w:val="00862DA8"/>
    <w:pPr>
      <w:spacing w:after="120"/>
      <w:jc w:val="right"/>
    </w:pPr>
    <w:rPr>
      <w:szCs w:val="20"/>
      <w:lang w:val="en-US"/>
    </w:rPr>
  </w:style>
  <w:style w:type="character" w:customStyle="1" w:styleId="Char4">
    <w:name w:val="Литература Char"/>
    <w:link w:val="a4"/>
    <w:rsid w:val="006812F2"/>
    <w:rPr>
      <w:rFonts w:ascii="Verdana" w:hAnsi="Verdana"/>
      <w:lang w:val="en-US"/>
    </w:rPr>
  </w:style>
  <w:style w:type="paragraph" w:customStyle="1" w:styleId="a6">
    <w:name w:val="Фигура Заглавие"/>
    <w:basedOn w:val="Normal"/>
    <w:link w:val="Char6"/>
    <w:autoRedefine/>
    <w:qFormat/>
    <w:rsid w:val="00D704A7"/>
    <w:pPr>
      <w:spacing w:after="120"/>
      <w:jc w:val="center"/>
    </w:pPr>
    <w:rPr>
      <w:rFonts w:ascii="Verdana" w:hAnsi="Verdana"/>
      <w:szCs w:val="20"/>
      <w:lang w:val="en-US"/>
    </w:rPr>
  </w:style>
  <w:style w:type="character" w:customStyle="1" w:styleId="Char5">
    <w:name w:val="Таблица Заглавие Char"/>
    <w:link w:val="a5"/>
    <w:rsid w:val="00862DA8"/>
    <w:rPr>
      <w:rFonts w:ascii="Arial" w:hAnsi="Arial"/>
      <w:lang w:val="en-US"/>
    </w:rPr>
  </w:style>
  <w:style w:type="paragraph" w:customStyle="1" w:styleId="a7">
    <w:name w:val="Бележка под линия"/>
    <w:basedOn w:val="FootnoteText"/>
    <w:link w:val="Char7"/>
    <w:qFormat/>
    <w:rsid w:val="00D704A7"/>
    <w:rPr>
      <w:rFonts w:ascii="Verdana" w:hAnsi="Verdana"/>
      <w:sz w:val="16"/>
      <w:szCs w:val="16"/>
      <w:lang w:val="en-US"/>
    </w:rPr>
  </w:style>
  <w:style w:type="character" w:customStyle="1" w:styleId="Char6">
    <w:name w:val="Фигура Заглавие Char"/>
    <w:link w:val="a6"/>
    <w:rsid w:val="00D704A7"/>
    <w:rPr>
      <w:rFonts w:ascii="Verdana" w:hAnsi="Verdana"/>
      <w:lang w:val="en-US" w:eastAsia="bg-BG" w:bidi="ar-SA"/>
    </w:rPr>
  </w:style>
  <w:style w:type="paragraph" w:customStyle="1" w:styleId="StyleBold">
    <w:name w:val="Style Литература + Bold"/>
    <w:basedOn w:val="a4"/>
    <w:rsid w:val="00D704A7"/>
    <w:rPr>
      <w:b/>
      <w:bCs/>
    </w:rPr>
  </w:style>
  <w:style w:type="character" w:customStyle="1" w:styleId="FootnoteTextChar">
    <w:name w:val="Footnote Text Char"/>
    <w:link w:val="FootnoteText"/>
    <w:uiPriority w:val="99"/>
    <w:semiHidden/>
    <w:rsid w:val="00933417"/>
    <w:rPr>
      <w:rFonts w:ascii="Arial" w:hAnsi="Arial"/>
    </w:rPr>
  </w:style>
  <w:style w:type="character" w:customStyle="1" w:styleId="Char7">
    <w:name w:val="Бележка под линия Char"/>
    <w:link w:val="a7"/>
    <w:rsid w:val="00D704A7"/>
    <w:rPr>
      <w:rFonts w:ascii="Verdana" w:hAnsi="Verdana"/>
      <w:sz w:val="16"/>
      <w:szCs w:val="16"/>
      <w:lang w:val="en-US" w:eastAsia="bg-BG" w:bidi="ar-SA"/>
    </w:rPr>
  </w:style>
  <w:style w:type="character" w:customStyle="1" w:styleId="Heading1Char">
    <w:name w:val="Heading 1 Char"/>
    <w:link w:val="Heading1"/>
    <w:rsid w:val="00070BFC"/>
    <w:rPr>
      <w:rFonts w:ascii="Cambria" w:eastAsia="Times New Roman" w:hAnsi="Cambria" w:cs="Times New Roman"/>
      <w:b/>
      <w:bCs/>
      <w:kern w:val="32"/>
      <w:sz w:val="32"/>
      <w:szCs w:val="32"/>
    </w:rPr>
  </w:style>
  <w:style w:type="paragraph" w:customStyle="1" w:styleId="StyleBold0">
    <w:name w:val="Style Резюме + Bold"/>
    <w:basedOn w:val="a0"/>
    <w:link w:val="StyleBoldChar"/>
    <w:rsid w:val="00D704A7"/>
    <w:rPr>
      <w:b/>
      <w:bCs/>
      <w:iCs/>
    </w:rPr>
  </w:style>
  <w:style w:type="character" w:customStyle="1" w:styleId="StyleBoldChar">
    <w:name w:val="Style Резюме + Bold Char"/>
    <w:link w:val="StyleBold0"/>
    <w:rsid w:val="00D704A7"/>
    <w:rPr>
      <w:rFonts w:ascii="Verdana" w:hAnsi="Verdana"/>
      <w:b/>
      <w:bCs/>
      <w:i/>
      <w:iCs/>
      <w:lang w:val="en-US" w:eastAsia="bg-BG" w:bidi="ar-SA"/>
    </w:rPr>
  </w:style>
  <w:style w:type="paragraph" w:customStyle="1" w:styleId="StyleVerdanaBold">
    <w:name w:val="Style Фигура Заглавие + Verdana Bold"/>
    <w:basedOn w:val="a6"/>
    <w:link w:val="StyleVerdanaBoldChar"/>
    <w:autoRedefine/>
    <w:rsid w:val="00D704A7"/>
    <w:rPr>
      <w:b/>
      <w:bCs/>
    </w:rPr>
  </w:style>
  <w:style w:type="character" w:customStyle="1" w:styleId="StyleVerdanaBoldChar">
    <w:name w:val="Style Фигура Заглавие + Verdana Bold Char"/>
    <w:link w:val="StyleVerdanaBold"/>
    <w:rsid w:val="00D704A7"/>
    <w:rPr>
      <w:rFonts w:ascii="Verdana" w:hAnsi="Verdana"/>
      <w:b/>
      <w:bCs/>
      <w:lang w:val="en-US" w:eastAsia="bg-BG" w:bidi="ar-SA"/>
    </w:rPr>
  </w:style>
  <w:style w:type="character" w:styleId="Hyperlink">
    <w:name w:val="Hyperlink"/>
    <w:rsid w:val="00A2619C"/>
    <w:rPr>
      <w:color w:val="0000FF"/>
      <w:u w:val="single"/>
    </w:rPr>
  </w:style>
  <w:style w:type="paragraph" w:customStyle="1" w:styleId="Normal-B">
    <w:name w:val="Normal-B"/>
    <w:basedOn w:val="Normal"/>
    <w:link w:val="Normal-BCharChar"/>
    <w:rsid w:val="00BA0958"/>
    <w:pPr>
      <w:ind w:firstLine="907"/>
    </w:pPr>
    <w:rPr>
      <w:rFonts w:ascii="Times New Roman" w:hAnsi="Times New Roman"/>
      <w:sz w:val="24"/>
      <w:szCs w:val="20"/>
    </w:rPr>
  </w:style>
  <w:style w:type="character" w:customStyle="1" w:styleId="Normal-BCharChar">
    <w:name w:val="Normal-B Char Char"/>
    <w:link w:val="Normal-B"/>
    <w:rsid w:val="00BA0958"/>
    <w:rPr>
      <w:sz w:val="24"/>
      <w:lang w:val="bg-BG" w:eastAsia="bg-BG" w:bidi="ar-SA"/>
    </w:rPr>
  </w:style>
  <w:style w:type="character" w:styleId="FollowedHyperlink">
    <w:name w:val="FollowedHyperlink"/>
    <w:rsid w:val="00C91C1D"/>
    <w:rPr>
      <w:color w:val="800080"/>
      <w:u w:val="single"/>
    </w:rPr>
  </w:style>
  <w:style w:type="paragraph" w:styleId="EndnoteText">
    <w:name w:val="endnote text"/>
    <w:basedOn w:val="Normal"/>
    <w:semiHidden/>
    <w:rsid w:val="00FA7179"/>
    <w:rPr>
      <w:szCs w:val="20"/>
    </w:rPr>
  </w:style>
  <w:style w:type="character" w:styleId="EndnoteReference">
    <w:name w:val="endnote reference"/>
    <w:semiHidden/>
    <w:rsid w:val="00FA7179"/>
    <w:rPr>
      <w:vertAlign w:val="superscript"/>
    </w:rPr>
  </w:style>
  <w:style w:type="character" w:customStyle="1" w:styleId="Heading2Char">
    <w:name w:val="Heading 2 Char"/>
    <w:link w:val="Heading2"/>
    <w:semiHidden/>
    <w:rsid w:val="00FF2C0A"/>
    <w:rPr>
      <w:rFonts w:ascii="Calibri Light" w:eastAsia="Times New Roman" w:hAnsi="Calibri Light" w:cs="Times New Roman"/>
      <w:b/>
      <w:bCs/>
      <w:i/>
      <w:iCs/>
      <w:sz w:val="28"/>
      <w:szCs w:val="28"/>
      <w:lang w:val="bg-BG" w:eastAsia="bg-BG"/>
    </w:rPr>
  </w:style>
  <w:style w:type="character" w:customStyle="1" w:styleId="jlqj4b">
    <w:name w:val="jlqj4b"/>
    <w:rsid w:val="00D774C0"/>
  </w:style>
  <w:style w:type="character" w:customStyle="1" w:styleId="viiyi">
    <w:name w:val="viiyi"/>
    <w:rsid w:val="00325E2C"/>
  </w:style>
  <w:style w:type="character" w:customStyle="1" w:styleId="mtfg0">
    <w:name w:val="mtfg0"/>
    <w:rsid w:val="007C2A7B"/>
  </w:style>
  <w:style w:type="character" w:customStyle="1" w:styleId="FooterChar">
    <w:name w:val="Footer Char"/>
    <w:link w:val="Footer"/>
    <w:uiPriority w:val="99"/>
    <w:rsid w:val="004A2827"/>
    <w:rPr>
      <w:rFonts w:ascii="Arial" w:hAnsi="Arial"/>
      <w:szCs w:val="24"/>
    </w:rPr>
  </w:style>
  <w:style w:type="paragraph" w:styleId="ListParagraph">
    <w:name w:val="List Paragraph"/>
    <w:basedOn w:val="Normal"/>
    <w:uiPriority w:val="34"/>
    <w:qFormat/>
    <w:rsid w:val="00425F79"/>
    <w:pPr>
      <w:ind w:left="720"/>
      <w:contextualSpacing/>
      <w:jc w:val="left"/>
    </w:pPr>
    <w:rPr>
      <w:rFonts w:ascii="Verdana" w:hAnsi="Verdana"/>
      <w:lang w:val="en-US" w:eastAsia="en-US"/>
    </w:rPr>
  </w:style>
  <w:style w:type="paragraph" w:styleId="NoSpacing">
    <w:name w:val="No Spacing"/>
    <w:uiPriority w:val="1"/>
    <w:qFormat/>
    <w:rsid w:val="00425F79"/>
    <w:rPr>
      <w:rFonts w:ascii="Verdana" w:hAnsi="Verdana"/>
      <w:szCs w:val="24"/>
      <w:lang w:val="en-US" w:eastAsia="en-US"/>
    </w:rPr>
  </w:style>
  <w:style w:type="character" w:customStyle="1" w:styleId="Heading3Char">
    <w:name w:val="Heading 3 Char"/>
    <w:basedOn w:val="DefaultParagraphFont"/>
    <w:link w:val="Heading3"/>
    <w:semiHidden/>
    <w:rsid w:val="00F06271"/>
    <w:rPr>
      <w:rFonts w:asciiTheme="majorHAnsi" w:eastAsiaTheme="majorEastAsia" w:hAnsiTheme="majorHAnsi" w:cstheme="majorBidi"/>
      <w:color w:val="1F3763" w:themeColor="accent1" w:themeShade="7F"/>
      <w:sz w:val="24"/>
      <w:szCs w:val="24"/>
    </w:rPr>
  </w:style>
  <w:style w:type="paragraph" w:styleId="NormalWeb">
    <w:name w:val="Normal (Web)"/>
    <w:basedOn w:val="Normal"/>
    <w:link w:val="NormalWebChar"/>
    <w:uiPriority w:val="99"/>
    <w:unhideWhenUsed/>
    <w:rsid w:val="00EC5DD0"/>
    <w:pPr>
      <w:spacing w:before="100" w:beforeAutospacing="1" w:after="100" w:afterAutospacing="1"/>
      <w:jc w:val="left"/>
    </w:pPr>
    <w:rPr>
      <w:rFonts w:ascii="Verdana" w:eastAsiaTheme="minorEastAsia" w:hAnsi="Verdana"/>
      <w:sz w:val="24"/>
      <w:lang w:val="en-US" w:eastAsia="en-US"/>
    </w:rPr>
  </w:style>
  <w:style w:type="character" w:customStyle="1" w:styleId="NormalWebChar">
    <w:name w:val="Normal (Web) Char"/>
    <w:basedOn w:val="DefaultParagraphFont"/>
    <w:link w:val="NormalWeb"/>
    <w:uiPriority w:val="99"/>
    <w:rsid w:val="00EC5DD0"/>
    <w:rPr>
      <w:rFonts w:ascii="Verdana" w:eastAsiaTheme="minorEastAsia" w:hAnsi="Verdana"/>
      <w:sz w:val="24"/>
      <w:szCs w:val="24"/>
      <w:lang w:val="en-US" w:eastAsia="en-US"/>
    </w:rPr>
  </w:style>
  <w:style w:type="paragraph" w:customStyle="1" w:styleId="Bulit">
    <w:name w:val="Bulit"/>
    <w:basedOn w:val="NormalWeb"/>
    <w:link w:val="BulitChar"/>
    <w:qFormat/>
    <w:rsid w:val="00681865"/>
    <w:pPr>
      <w:numPr>
        <w:numId w:val="23"/>
      </w:numPr>
      <w:spacing w:before="0" w:beforeAutospacing="0" w:after="0" w:afterAutospacing="0"/>
      <w:ind w:left="446" w:hanging="446"/>
      <w:jc w:val="both"/>
    </w:pPr>
    <w:rPr>
      <w:sz w:val="22"/>
      <w:szCs w:val="22"/>
      <w:lang w:val="sr-Latn-RS"/>
    </w:rPr>
  </w:style>
  <w:style w:type="character" w:customStyle="1" w:styleId="BulitChar">
    <w:name w:val="Bulit Char"/>
    <w:basedOn w:val="NormalWebChar"/>
    <w:link w:val="Bulit"/>
    <w:rsid w:val="00681865"/>
    <w:rPr>
      <w:rFonts w:ascii="Verdana" w:eastAsiaTheme="minorEastAsia" w:hAnsi="Verdana"/>
      <w:sz w:val="22"/>
      <w:szCs w:val="22"/>
      <w:lang w:val="sr-Latn-RS" w:eastAsia="en-US"/>
    </w:rPr>
  </w:style>
  <w:style w:type="paragraph" w:styleId="Caption">
    <w:name w:val="caption"/>
    <w:basedOn w:val="Normal"/>
    <w:next w:val="Normal"/>
    <w:uiPriority w:val="35"/>
    <w:unhideWhenUsed/>
    <w:qFormat/>
    <w:rsid w:val="006755C0"/>
    <w:pPr>
      <w:spacing w:after="200"/>
      <w:jc w:val="left"/>
    </w:pPr>
    <w:rPr>
      <w:rFonts w:ascii="Verdana" w:hAnsi="Verdana"/>
      <w:i/>
      <w:iCs/>
      <w:color w:val="44546A" w:themeColor="text2"/>
      <w:sz w:val="18"/>
      <w:szCs w:val="18"/>
      <w:lang w:val="en-US" w:eastAsia="en-US"/>
    </w:rPr>
  </w:style>
  <w:style w:type="paragraph" w:styleId="Bibliography">
    <w:name w:val="Bibliography"/>
    <w:basedOn w:val="Normal"/>
    <w:next w:val="Normal"/>
    <w:uiPriority w:val="37"/>
    <w:unhideWhenUsed/>
    <w:rsid w:val="00AE6A7A"/>
    <w:pPr>
      <w:jc w:val="left"/>
    </w:pPr>
    <w:rPr>
      <w:rFonts w:ascii="Verdana" w:hAnsi="Verdana"/>
      <w:lang w:val="en-US" w:eastAsia="en-US"/>
    </w:rPr>
  </w:style>
  <w:style w:type="character" w:customStyle="1" w:styleId="UnresolvedMention1">
    <w:name w:val="Unresolved Mention1"/>
    <w:basedOn w:val="DefaultParagraphFont"/>
    <w:uiPriority w:val="99"/>
    <w:semiHidden/>
    <w:unhideWhenUsed/>
    <w:rsid w:val="00412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1288">
      <w:bodyDiv w:val="1"/>
      <w:marLeft w:val="0"/>
      <w:marRight w:val="0"/>
      <w:marTop w:val="0"/>
      <w:marBottom w:val="0"/>
      <w:divBdr>
        <w:top w:val="none" w:sz="0" w:space="0" w:color="auto"/>
        <w:left w:val="none" w:sz="0" w:space="0" w:color="auto"/>
        <w:bottom w:val="none" w:sz="0" w:space="0" w:color="auto"/>
        <w:right w:val="none" w:sz="0" w:space="0" w:color="auto"/>
      </w:divBdr>
    </w:div>
    <w:div w:id="325283972">
      <w:bodyDiv w:val="1"/>
      <w:marLeft w:val="0"/>
      <w:marRight w:val="0"/>
      <w:marTop w:val="0"/>
      <w:marBottom w:val="0"/>
      <w:divBdr>
        <w:top w:val="none" w:sz="0" w:space="0" w:color="auto"/>
        <w:left w:val="none" w:sz="0" w:space="0" w:color="auto"/>
        <w:bottom w:val="none" w:sz="0" w:space="0" w:color="auto"/>
        <w:right w:val="none" w:sz="0" w:space="0" w:color="auto"/>
      </w:divBdr>
    </w:div>
    <w:div w:id="880094428">
      <w:bodyDiv w:val="1"/>
      <w:marLeft w:val="0"/>
      <w:marRight w:val="0"/>
      <w:marTop w:val="0"/>
      <w:marBottom w:val="0"/>
      <w:divBdr>
        <w:top w:val="none" w:sz="0" w:space="0" w:color="auto"/>
        <w:left w:val="none" w:sz="0" w:space="0" w:color="auto"/>
        <w:bottom w:val="none" w:sz="0" w:space="0" w:color="auto"/>
        <w:right w:val="none" w:sz="0" w:space="0" w:color="auto"/>
      </w:divBdr>
    </w:div>
    <w:div w:id="927419901">
      <w:bodyDiv w:val="1"/>
      <w:marLeft w:val="0"/>
      <w:marRight w:val="0"/>
      <w:marTop w:val="0"/>
      <w:marBottom w:val="0"/>
      <w:divBdr>
        <w:top w:val="none" w:sz="0" w:space="0" w:color="auto"/>
        <w:left w:val="none" w:sz="0" w:space="0" w:color="auto"/>
        <w:bottom w:val="none" w:sz="0" w:space="0" w:color="auto"/>
        <w:right w:val="none" w:sz="0" w:space="0" w:color="auto"/>
      </w:divBdr>
    </w:div>
    <w:div w:id="1181360602">
      <w:bodyDiv w:val="1"/>
      <w:marLeft w:val="0"/>
      <w:marRight w:val="0"/>
      <w:marTop w:val="0"/>
      <w:marBottom w:val="0"/>
      <w:divBdr>
        <w:top w:val="none" w:sz="0" w:space="0" w:color="auto"/>
        <w:left w:val="none" w:sz="0" w:space="0" w:color="auto"/>
        <w:bottom w:val="none" w:sz="0" w:space="0" w:color="auto"/>
        <w:right w:val="none" w:sz="0" w:space="0" w:color="auto"/>
      </w:divBdr>
    </w:div>
    <w:div w:id="1321153981">
      <w:bodyDiv w:val="1"/>
      <w:marLeft w:val="0"/>
      <w:marRight w:val="0"/>
      <w:marTop w:val="0"/>
      <w:marBottom w:val="0"/>
      <w:divBdr>
        <w:top w:val="none" w:sz="0" w:space="0" w:color="auto"/>
        <w:left w:val="none" w:sz="0" w:space="0" w:color="auto"/>
        <w:bottom w:val="none" w:sz="0" w:space="0" w:color="auto"/>
        <w:right w:val="none" w:sz="0" w:space="0" w:color="auto"/>
      </w:divBdr>
    </w:div>
    <w:div w:id="1326712781">
      <w:bodyDiv w:val="1"/>
      <w:marLeft w:val="0"/>
      <w:marRight w:val="0"/>
      <w:marTop w:val="0"/>
      <w:marBottom w:val="0"/>
      <w:divBdr>
        <w:top w:val="none" w:sz="0" w:space="0" w:color="auto"/>
        <w:left w:val="none" w:sz="0" w:space="0" w:color="auto"/>
        <w:bottom w:val="none" w:sz="0" w:space="0" w:color="auto"/>
        <w:right w:val="none" w:sz="0" w:space="0" w:color="auto"/>
      </w:divBdr>
    </w:div>
    <w:div w:id="1865631817">
      <w:bodyDiv w:val="1"/>
      <w:marLeft w:val="0"/>
      <w:marRight w:val="0"/>
      <w:marTop w:val="0"/>
      <w:marBottom w:val="0"/>
      <w:divBdr>
        <w:top w:val="none" w:sz="0" w:space="0" w:color="auto"/>
        <w:left w:val="none" w:sz="0" w:space="0" w:color="auto"/>
        <w:bottom w:val="none" w:sz="0" w:space="0" w:color="auto"/>
        <w:right w:val="none" w:sz="0" w:space="0" w:color="auto"/>
      </w:divBdr>
    </w:div>
    <w:div w:id="1923827766">
      <w:bodyDiv w:val="1"/>
      <w:marLeft w:val="0"/>
      <w:marRight w:val="0"/>
      <w:marTop w:val="0"/>
      <w:marBottom w:val="0"/>
      <w:divBdr>
        <w:top w:val="none" w:sz="0" w:space="0" w:color="auto"/>
        <w:left w:val="none" w:sz="0" w:space="0" w:color="auto"/>
        <w:bottom w:val="none" w:sz="0" w:space="0" w:color="auto"/>
        <w:right w:val="none" w:sz="0" w:space="0" w:color="auto"/>
      </w:divBdr>
      <w:divsChild>
        <w:div w:id="971789938">
          <w:marLeft w:val="0"/>
          <w:marRight w:val="0"/>
          <w:marTop w:val="0"/>
          <w:marBottom w:val="0"/>
          <w:divBdr>
            <w:top w:val="none" w:sz="0" w:space="0" w:color="auto"/>
            <w:left w:val="none" w:sz="0" w:space="0" w:color="auto"/>
            <w:bottom w:val="none" w:sz="0" w:space="0" w:color="auto"/>
            <w:right w:val="none" w:sz="0" w:space="0" w:color="auto"/>
          </w:divBdr>
        </w:div>
      </w:divsChild>
    </w:div>
    <w:div w:id="1930188519">
      <w:bodyDiv w:val="1"/>
      <w:marLeft w:val="0"/>
      <w:marRight w:val="0"/>
      <w:marTop w:val="0"/>
      <w:marBottom w:val="0"/>
      <w:divBdr>
        <w:top w:val="none" w:sz="0" w:space="0" w:color="auto"/>
        <w:left w:val="none" w:sz="0" w:space="0" w:color="auto"/>
        <w:bottom w:val="none" w:sz="0" w:space="0" w:color="auto"/>
        <w:right w:val="none" w:sz="0" w:space="0" w:color="auto"/>
      </w:divBdr>
      <w:divsChild>
        <w:div w:id="137573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Krs16</b:Tag>
    <b:SourceType>ConferenceProceedings</b:SourceType>
    <b:Guid>{1333AD8A-7E4A-4A4D-A437-DC22F68058AD}</b:Guid>
    <b:Title>The State And Perspectives Of Development Of The Creative Industry Of Serbia</b:Title>
    <b:Year>2016</b:Year>
    <b:Author>
      <b:Author>
        <b:Corporate>Krstić M, Skorup A</b:Corporate>
      </b:Author>
    </b:Author>
    <b:Pages>493-508</b:Pages>
    <b:ConferenceName>V International Conference, “Employment, Education And Entrepreneurship”, 27-29 October 2016 </b:ConferenceName>
    <b:City>Belgrade, Serbia</b:City>
    <b:Publisher>In Book ENTREPRENEURSHIP: Types, Current Trends And Future Perspective http://www.eee-conference.com/_img/arhiva/2016/eee_2016_book_1_-_final_optimized.pdf</b:Publisher>
    <b:RefOrder>15</b:RefOrder>
  </b:Source>
  <b:Source>
    <b:Tag>Dru85</b:Tag>
    <b:SourceType>Book</b:SourceType>
    <b:Guid>{6D64BEB0-B61C-4A31-9F7A-02254782A39C}</b:Guid>
    <b:Title>Innovation And Entrepreneurship: Practice And Principles</b:Title>
    <b:Year>1985</b:Year>
    <b:City>London, United Kingdom</b:City>
    <b:Publisher>Greener Books</b:Publisher>
    <b:Author>
      <b:Author>
        <b:Corporate>Drucker P</b:Corporate>
      </b:Author>
    </b:Author>
    <b:RefOrder>16</b:RefOrder>
  </b:Source>
  <b:Source>
    <b:Tag>Kel</b:Tag>
    <b:SourceType>Report</b:SourceType>
    <b:Guid>{11781FB6-0F37-49AC-AB39-612D4DCFD033}</b:Guid>
    <b:Title>Global Entrepreneurship  Monitor, 2018/2019  Global Report</b:Title>
    <b:Author>
      <b:Author>
        <b:Corporate>Bosma N, Kelley D</b:Corporate>
      </b:Author>
    </b:Author>
    <b:Year>2018</b:Year>
    <b:Publisher>https://www.gemconsortium.org/report/gem-2018-2019-global-report </b:Publisher>
    <b:City>The Global Entrepreneurship Research Association (GERA)</b:City>
    <b:RefOrder>17</b:RefOrder>
  </b:Source>
  <b:Source>
    <b:Tag>VBM191</b:Tag>
    <b:SourceType>InternetSite</b:SourceType>
    <b:Guid>{F8A76820-2E08-4848-9471-1E0882DE3F8C}</b:Guid>
    <b:Author>
      <b:Author>
        <b:Corporate>VBM</b:Corporate>
      </b:Author>
    </b:Author>
    <b:Title>Industry Maturity Stages </b:Title>
    <b:InternetSiteTitle>Value Based Management</b:InternetSiteTitle>
    <b:Year>2019</b:Year>
    <b:URL>https://www.valuebasedmanagement.net/methods_product_life_cycle.html</b:URL>
    <b:RefOrder>18</b:RefOrder>
  </b:Source>
  <b:Source>
    <b:Tag>BUJ19</b:Tag>
    <b:SourceType>DocumentFromInternetSite</b:SourceType>
    <b:Guid>{ACA8C1A4-A2E6-4CB2-A4A4-3E94529BA329}</b:Guid>
    <b:Author>
      <b:Author>
        <b:Corporate>BUJ</b:Corporate>
      </b:Author>
    </b:Author>
    <b:Title>Entrepreneurship </b:Title>
    <b:InternetSiteTitle> Business Jargons </b:InternetSiteTitle>
    <b:Year>2019</b:Year>
    <b:URL> https://businessjargons.com/entrepreneurship.html</b:URL>
    <b:RefOrder>1</b:RefOrder>
  </b:Source>
  <b:Source>
    <b:Tag>IOE19</b:Tag>
    <b:SourceType>DocumentFromInternetSite</b:SourceType>
    <b:Guid>{C721FBAF-C288-4B32-9183-70155AADEB2C}</b:Guid>
    <b:Author>
      <b:Author>
        <b:Corporate>IOE</b:Corporate>
      </b:Author>
    </b:Author>
    <b:Title>9 Importance of Entrepreneurship</b:Title>
    <b:InternetSiteTitle>iEduNote</b:InternetSiteTitle>
    <b:Year>2019</b:Year>
    <b:URL>https://iedunote.com/importance-of-entrepreneurship</b:URL>
    <b:RefOrder>6</b:RefOrder>
  </b:Source>
  <b:Source>
    <b:Tag>Lap181</b:Tag>
    <b:SourceType>ConferenceProceedings</b:SourceType>
    <b:Guid>{5CBCB60F-BE8E-4F93-BBC6-A4354D5E00E4}</b:Guid>
    <b:Author>
      <b:Author>
        <b:Corporate>Lapcevic G, Krstic M</b:Corporate>
      </b:Author>
    </b:Author>
    <b:Title>Research Of Risk In The Entrepreneurial Process,</b:Title>
    <b:Year>2018</b:Year>
    <b:ConferenceName> Employment, Education and Entrepreneursheep EEE -2018 </b:ConferenceName>
    <b:City>Belgrade</b:City>
    <b:Publisher>VPŠPEP</b:Publisher>
    <b:RefOrder>2</b:RefOrder>
  </b:Source>
  <b:Source>
    <b:Tag>Set19</b:Tag>
    <b:SourceType>DocumentFromInternetSite</b:SourceType>
    <b:Guid>{37BF872C-05C3-4FE4-8B73-5DBA51AE75D1}</b:Guid>
    <b:Author>
      <b:Author>
        <b:Corporate>Seth S</b:Corporate>
      </b:Author>
    </b:Author>
    <b:Title>Entrepreneurs and Entrepreneurship  Defined </b:Title>
    <b:InternetSiteTitle>Investopedia</b:InternetSiteTitle>
    <b:Year>2019</b:Year>
    <b:URL>https://www.investopedia.com/articles/investing/092514/entrepreneur-vs-small-business-owner-defined.asp, pristupljeno 27.01.2020. godine</b:URL>
    <b:RefOrder>5</b:RefOrder>
  </b:Source>
  <b:Source>
    <b:Tag>Byg04</b:Tag>
    <b:SourceType>Book</b:SourceType>
    <b:Guid>{C4C760C4-DE8D-4370-B831-F9D3EFBC69D5}</b:Guid>
    <b:Title> The entrepreneurial process. In W. D. Bygrave &amp; A. Zacharakis (Eds.). The portable MBA in entrepreneurship. Hoboken,       </b:Title>
    <b:Year>2004</b:Year>
    <b:Author>
      <b:Author>
        <b:Corporate>Bygrave, W. D</b:Corporate>
      </b:Author>
    </b:Author>
    <b:City> NJ</b:City>
    <b:Publisher> John Wiley &amp; Sons</b:Publisher>
    <b:RefOrder>7</b:RefOrder>
  </b:Source>
  <b:Source>
    <b:Tag>Pfa05</b:Tag>
    <b:SourceType>BookSection</b:SourceType>
    <b:Guid>{CD0CCBA8-3189-4F64-882B-10E6CD6652B9}</b:Guid>
    <b:Title>Creative destruction</b:Title>
    <b:Year>2005</b:Year>
    <b:Author>
      <b:Author>
        <b:Corporate>Pfarrer M,  Smith K</b:Corporate>
      </b:Author>
      <b:BookAuthor>
        <b:NameList>
          <b:Person>
            <b:Last>Hitt M</b:Last>
            <b:First>Ireland</b:First>
            <b:Middle>D</b:Middle>
          </b:Person>
        </b:NameList>
      </b:BookAuthor>
    </b:Author>
    <b:BookTitle>The Blackwell Encyclopedia of Management</b:BookTitle>
    <b:Publisher>Entrepreneurship: 50-52. London: Blackwell,  https://www.researchgate.net/publication/319587682_Creative_Destruction</b:Publisher>
    <b:RefOrder>3</b:RefOrder>
  </b:Source>
  <b:Source>
    <b:Tag>Mor12</b:Tag>
    <b:SourceType>JournalArticle</b:SourceType>
    <b:Guid>{410EF916-EF60-4983-8A8E-7C533DBEF9F2}</b:Guid>
    <b:Author>
      <b:Author>
        <b:Corporate>Moroz P, Hindle K</b:Corporate>
      </b:Author>
    </b:Author>
    <b:Title>Entrepreneurship as a Process: Toward Harmonizing Multiple Perspectives</b:Title>
    <b:JournalName>ENTREPRENEURSHIP THEORY AD PRACTICE</b:JournalName>
    <b:Year>2012</b:Year>
    <b:Pages>pg. 781-819, https://www.effectuation.org/wp-content/uploads/2017/05/2012-Moroz-Hindle-ETP-Harmonizing.pdf</b:Pages>
    <b:RefOrder>8</b:RefOrder>
  </b:Source>
  <b:Source>
    <b:Tag>Sal15</b:Tag>
    <b:SourceType>ArticleInAPeriodical</b:SourceType>
    <b:Guid>{373F3A07-DC74-4731-B2C6-C67B5BE1B954}</b:Guid>
    <b:Author>
      <b:Author>
        <b:Corporate>Salauzadeh A</b:Corporate>
      </b:Author>
    </b:Author>
    <b:Title>New Venture Creation</b:Title>
    <b:Year>2015</b:Year>
    <b:Pages>101-109, https://www.researchgate.net/publication/289671406_New_Venture_Creation_Controversial_Perspectives_and_Theories</b:Pages>
    <b:PeriodicalTitle>Economic Analysis - EA 2015, Vol. 48, No. 3-4</b:PeriodicalTitle>
    <b:RefOrder>9</b:RefOrder>
  </b:Source>
  <b:Source>
    <b:Tag>Wag07</b:Tag>
    <b:SourceType>BookSection</b:SourceType>
    <b:Guid>{A612D11A-8BB5-4200-8CE1-2042C06DECB4}</b:Guid>
    <b:Title>Nascent Entrepreneurs</b:Title>
    <b:Year>2007</b:Year>
    <b:Author>
      <b:Author>
        <b:Corporate>Wagner J</b:Corporate>
      </b:Author>
      <b:BookAuthor>
        <b:NameList>
          <b:Person>
            <b:Last>Parker</b:Last>
            <b:First>Simon</b:First>
          </b:Person>
        </b:NameList>
      </b:BookAuthor>
    </b:Author>
    <b:BookTitle>The Life Cycle of Entrepreneurial Venture, International Handbook Series On Entrepreneurship</b:BookTitle>
    <b:Publisher>Springer</b:Publisher>
    <b:RefOrder>12</b:RefOrder>
  </b:Source>
  <b:Source>
    <b:Tag>Krs181</b:Tag>
    <b:SourceType>Book</b:SourceType>
    <b:Guid>{36020C08-492C-4419-A8A8-2D8CC46065A9}</b:Guid>
    <b:Author>
      <b:Author>
        <b:Corporate>Krstić M, Gavrić G, Skorup A</b:Corporate>
      </b:Author>
    </b:Author>
    <b:Title>Business growth and development strategies</b:Title>
    <b:Year>2018</b:Year>
    <b:City>I-st Edition, Faculty of Business Economics and Entrepreneurship</b:City>
    <b:Publisher>Belgrade, Serbia</b:Publisher>
    <b:RefOrder>20</b:RefOrder>
  </b:Source>
  <b:Source>
    <b:Tag>Bul04</b:Tag>
    <b:SourceType>Book</b:SourceType>
    <b:Guid>{DE447482-E21D-4192-98CF-C23F95982B3E}</b:Guid>
    <b:Author>
      <b:Author>
        <b:Corporate>Bulat, V</b:Corporate>
      </b:Author>
    </b:Author>
    <b:Title>Industrial Management, The New Paradigm</b:Title>
    <b:Year>2004</b:Year>
    <b:City>ICIM Plus</b:City>
    <b:Publisher>Kruševac, Serbia</b:Publisher>
    <b:RefOrder>19</b:RefOrder>
  </b:Source>
  <b:Source>
    <b:Tag>Avl11</b:Tag>
    <b:SourceType>ArticleInAPeriodical</b:SourceType>
    <b:Guid>{FD1708E3-EF01-4298-ADF9-10814C7C24C5}</b:Guid>
    <b:Title>A model of the entrepreneurial process of starting a new business venture</b:Title>
    <b:Year>2011</b:Year>
    <b:Pages> 152-156, Belgrade, Serbia, https://www.academia.edu/9909957/SR_Model_preduzetnickog_procesa_pokretanja_novog_poslovnog_poduhvata_1</b:Pages>
    <b:Author>
      <b:Author>
        <b:Corporate>Avlijaš R</b:Corporate>
      </b:Author>
    </b:Author>
    <b:PeriodicalTitle>Singidunum revija 2011, 8 (2)</b:PeriodicalTitle>
    <b:RefOrder>4</b:RefOrder>
  </b:Source>
  <b:Source>
    <b:Tag>CFA</b:Tag>
    <b:SourceType>DocumentFromInternetSite</b:SourceType>
    <b:Guid>{F495DCEB-75DD-4006-BDC4-03D51EEE7628}</b:Guid>
    <b:Author>
      <b:Author>
        <b:Corporate>CFA</b:Corporate>
      </b:Author>
    </b:Author>
    <b:Title>OpenStax</b:Title>
    <b:InternetSiteTitle>Entrepreneurship, 11.3 Conducting a Feasibility Analysis</b:InternetSiteTitle>
    <b:Year>2020</b:Year>
    <b:URL>https://openstax.org/books/entrepreneurship/pages/11-3-conducting-a-feasibility-analysis</b:URL>
    <b:RefOrder>14</b:RefOrder>
  </b:Source>
  <b:Source>
    <b:Tag>WM21</b:Tag>
    <b:SourceType>DocumentFromInternetSite</b:SourceType>
    <b:Guid>{A086DC93-ED66-45FE-9515-7942CB868CE8}</b:Guid>
    <b:Author>
      <b:Author>
        <b:Corporate>WM</b:Corporate>
      </b:Author>
    </b:Author>
    <b:Title>Metodologija</b:Title>
    <b:InternetSiteTitle>Wikipedia Slobodna enciklopedia</b:InternetSiteTitle>
    <b:Year>2021</b:Year>
    <b:URL>https://bs.wikipedia.org/wiki/Metodologija</b:URL>
    <b:RefOrder>10</b:RefOrder>
  </b:Source>
  <b:Source>
    <b:Tag>Roh14</b:Tag>
    <b:SourceType>DocumentFromInternetSite</b:SourceType>
    <b:Guid>{820640D2-4785-44F3-AB03-A7F951B1F346}</b:Guid>
    <b:Author>
      <b:Author>
        <b:Corporate>Rohrer C.</b:Corporate>
      </b:Author>
    </b:Author>
    <b:Title>When to Use Which User-Experience Research Methods</b:Title>
    <b:InternetSiteTitle>Nielsen Norman Group</b:InternetSiteTitle>
    <b:Year>2014</b:Year>
    <b:URL>https://www.nngroup.com/articles/which-ux-research-methods/</b:URL>
    <b:RefOrder>11</b:RefOrder>
  </b:Source>
  <b:Source>
    <b:Tag>ATY21</b:Tag>
    <b:SourceType>DocumentFromInternetSite</b:SourceType>
    <b:Guid>{3C4906FC-8A63-4DB4-9332-71A268CFDDAF}</b:Guid>
    <b:Author>
      <b:Author>
        <b:Corporate>TYN</b:Corporate>
      </b:Author>
    </b:Author>
    <b:Title>All the Templates You Need to Plan, Start, Organize, Manage, Finance &amp; Grow Your Business, in One Place, Business In a Box</b:Title>
    <b:Year>2021</b:Year>
    <b:URL>https://www.business-in-a-box.com/lp/_ab/2021.01.19/00/?q=business-document&amp;a=business-in-a-box&amp;s=google&amp;c=world2&amp;gclid=CjwKEAjwiru9BRDwyKmR08L3iS0SJABN8T4vrxvsjVh-5dL65Eyiw2vOMh7k-lco_Omvzddv-tli5hoCgnXw_wcB</b:URL>
    <b:RefOrder>13</b:RefOrder>
  </b:Source>
</b:Sources>
</file>

<file path=customXml/itemProps1.xml><?xml version="1.0" encoding="utf-8"?>
<ds:datastoreItem xmlns:ds="http://schemas.openxmlformats.org/officeDocument/2006/customXml" ds:itemID="{46B5E62A-8E5A-43E6-AE61-8F0BC352D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1324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vt:lpstr>
    </vt:vector>
  </TitlesOfParts>
  <Company>RU</Company>
  <LinksUpToDate>false</LinksUpToDate>
  <CharactersWithSpaces>10107</CharactersWithSpaces>
  <SharedDoc>false</SharedDoc>
  <HLinks>
    <vt:vector size="66" baseType="variant">
      <vt:variant>
        <vt:i4>7077942</vt:i4>
      </vt:variant>
      <vt:variant>
        <vt:i4>30</vt:i4>
      </vt:variant>
      <vt:variant>
        <vt:i4>0</vt:i4>
      </vt:variant>
      <vt:variant>
        <vt:i4>5</vt:i4>
      </vt:variant>
      <vt:variant>
        <vt:lpwstr>http://www.strategy.bg/StrategicDocuments/View.aspx?lang=bg-BG&amp;Id=1231</vt:lpwstr>
      </vt:variant>
      <vt:variant>
        <vt:lpwstr/>
      </vt:variant>
      <vt:variant>
        <vt:i4>851974</vt:i4>
      </vt:variant>
      <vt:variant>
        <vt:i4>27</vt:i4>
      </vt:variant>
      <vt:variant>
        <vt:i4>0</vt:i4>
      </vt:variant>
      <vt:variant>
        <vt:i4>5</vt:i4>
      </vt:variant>
      <vt:variant>
        <vt:lpwstr>https://doi.org/10.1016/S2212-5671(15)00036-2</vt:lpwstr>
      </vt:variant>
      <vt:variant>
        <vt:lpwstr/>
      </vt:variant>
      <vt:variant>
        <vt:i4>1179736</vt:i4>
      </vt:variant>
      <vt:variant>
        <vt:i4>24</vt:i4>
      </vt:variant>
      <vt:variant>
        <vt:i4>0</vt:i4>
      </vt:variant>
      <vt:variant>
        <vt:i4>5</vt:i4>
      </vt:variant>
      <vt:variant>
        <vt:lpwstr>https://doi.org/10.9770/jesi.2017.5.1(1)</vt:lpwstr>
      </vt:variant>
      <vt:variant>
        <vt:lpwstr/>
      </vt:variant>
      <vt:variant>
        <vt:i4>6094866</vt:i4>
      </vt:variant>
      <vt:variant>
        <vt:i4>21</vt:i4>
      </vt:variant>
      <vt:variant>
        <vt:i4>0</vt:i4>
      </vt:variant>
      <vt:variant>
        <vt:i4>5</vt:i4>
      </vt:variant>
      <vt:variant>
        <vt:lpwstr>https://doi.org/10.31410/Balkans.JETSS.2019.2.1.28-38</vt:lpwstr>
      </vt:variant>
      <vt:variant>
        <vt:lpwstr/>
      </vt:variant>
      <vt:variant>
        <vt:i4>6946923</vt:i4>
      </vt:variant>
      <vt:variant>
        <vt:i4>18</vt:i4>
      </vt:variant>
      <vt:variant>
        <vt:i4>0</vt:i4>
      </vt:variant>
      <vt:variant>
        <vt:i4>5</vt:i4>
      </vt:variant>
      <vt:variant>
        <vt:lpwstr>https://doi.org/10.1051/shsconf/2021920500</vt:lpwstr>
      </vt:variant>
      <vt:variant>
        <vt:lpwstr/>
      </vt:variant>
      <vt:variant>
        <vt:i4>2883615</vt:i4>
      </vt:variant>
      <vt:variant>
        <vt:i4>15</vt:i4>
      </vt:variant>
      <vt:variant>
        <vt:i4>0</vt:i4>
      </vt:variant>
      <vt:variant>
        <vt:i4>5</vt:i4>
      </vt:variant>
      <vt:variant>
        <vt:lpwstr>mailto:vorozhikhin@mail.ru</vt:lpwstr>
      </vt:variant>
      <vt:variant>
        <vt:lpwstr/>
      </vt:variant>
      <vt:variant>
        <vt:i4>7143494</vt:i4>
      </vt:variant>
      <vt:variant>
        <vt:i4>12</vt:i4>
      </vt:variant>
      <vt:variant>
        <vt:i4>0</vt:i4>
      </vt:variant>
      <vt:variant>
        <vt:i4>5</vt:i4>
      </vt:variant>
      <vt:variant>
        <vt:lpwstr>mailto:epapasov@gmail.com</vt:lpwstr>
      </vt:variant>
      <vt:variant>
        <vt:lpwstr/>
      </vt:variant>
      <vt:variant>
        <vt:i4>7209038</vt:i4>
      </vt:variant>
      <vt:variant>
        <vt:i4>9</vt:i4>
      </vt:variant>
      <vt:variant>
        <vt:i4>0</vt:i4>
      </vt:variant>
      <vt:variant>
        <vt:i4>5</vt:i4>
      </vt:variant>
      <vt:variant>
        <vt:lpwstr>mailto:liudmilla@abv.bg</vt:lpwstr>
      </vt:variant>
      <vt:variant>
        <vt:lpwstr/>
      </vt:variant>
      <vt:variant>
        <vt:i4>2883615</vt:i4>
      </vt:variant>
      <vt:variant>
        <vt:i4>6</vt:i4>
      </vt:variant>
      <vt:variant>
        <vt:i4>0</vt:i4>
      </vt:variant>
      <vt:variant>
        <vt:i4>5</vt:i4>
      </vt:variant>
      <vt:variant>
        <vt:lpwstr>mailto:vorozhikhin@mail.ru</vt:lpwstr>
      </vt:variant>
      <vt:variant>
        <vt:lpwstr/>
      </vt:variant>
      <vt:variant>
        <vt:i4>7143494</vt:i4>
      </vt:variant>
      <vt:variant>
        <vt:i4>3</vt:i4>
      </vt:variant>
      <vt:variant>
        <vt:i4>0</vt:i4>
      </vt:variant>
      <vt:variant>
        <vt:i4>5</vt:i4>
      </vt:variant>
      <vt:variant>
        <vt:lpwstr>mailto:epapasov@gmail.com</vt:lpwstr>
      </vt:variant>
      <vt:variant>
        <vt:lpwstr/>
      </vt:variant>
      <vt:variant>
        <vt:i4>7209038</vt:i4>
      </vt:variant>
      <vt:variant>
        <vt:i4>0</vt:i4>
      </vt:variant>
      <vt:variant>
        <vt:i4>0</vt:i4>
      </vt:variant>
      <vt:variant>
        <vt:i4>5</vt:i4>
      </vt:variant>
      <vt:variant>
        <vt:lpwstr>mailto:liudmilla@abv.bg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mkirova</dc:creator>
  <cp:keywords/>
  <cp:lastModifiedBy>Yuksel Aliev</cp:lastModifiedBy>
  <cp:revision>22</cp:revision>
  <cp:lastPrinted>2009-06-07T11:25:00Z</cp:lastPrinted>
  <dcterms:created xsi:type="dcterms:W3CDTF">2021-06-24T15:08:00Z</dcterms:created>
  <dcterms:modified xsi:type="dcterms:W3CDTF">2021-06-25T12:50:00Z</dcterms:modified>
</cp:coreProperties>
</file>